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19FCC6">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14:paraId="7566416E">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14:paraId="5B3BAA16">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14:paraId="6EBE3831">
      <w:pPr>
        <w:widowControl/>
        <w:ind w:firstLine="640" w:firstLineChars="200"/>
        <w:jc w:val="left"/>
        <w:textAlignment w:val="center"/>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为四川江油画屏尚景景区管理有限责任公司提供窦圌山索道改建项目工程勘察服务</w:t>
      </w:r>
      <w:r>
        <w:rPr>
          <w:rFonts w:hint="eastAsia" w:ascii="仿宋" w:hAnsi="仿宋" w:eastAsia="仿宋" w:cs="仿宋"/>
          <w:b w:val="0"/>
          <w:bCs w:val="0"/>
          <w:sz w:val="32"/>
          <w:szCs w:val="32"/>
          <w:u w:val="none" w:color="auto"/>
          <w:lang w:eastAsia="zh-CN"/>
        </w:rPr>
        <w:t>。</w:t>
      </w:r>
    </w:p>
    <w:p w14:paraId="551E3D0D">
      <w:pPr>
        <w:numPr>
          <w:ilvl w:val="0"/>
          <w:numId w:val="1"/>
        </w:numPr>
        <w:spacing w:line="574" w:lineRule="exact"/>
        <w:ind w:firstLine="640" w:firstLineChars="200"/>
        <w:rPr>
          <w:rFonts w:ascii="黑体" w:hAnsi="黑体" w:eastAsia="黑体" w:cs="黑体"/>
          <w:sz w:val="32"/>
          <w:szCs w:val="32"/>
          <w:lang w:eastAsia="zh-CN"/>
        </w:rPr>
      </w:pPr>
      <w:r>
        <w:rPr>
          <w:rFonts w:hint="eastAsia" w:ascii="黑体" w:hAnsi="黑体" w:eastAsia="黑体" w:cs="黑体"/>
          <w:sz w:val="32"/>
          <w:szCs w:val="32"/>
        </w:rPr>
        <w:t>采购项目标的</w:t>
      </w:r>
      <w:r>
        <w:rPr>
          <w:rFonts w:hint="eastAsia" w:ascii="黑体" w:hAnsi="黑体" w:eastAsia="黑体" w:cs="黑体"/>
          <w:sz w:val="32"/>
          <w:szCs w:val="32"/>
          <w:lang w:eastAsia="zh-CN"/>
        </w:rPr>
        <w:t>内容：</w:t>
      </w:r>
    </w:p>
    <w:p w14:paraId="0419115D">
      <w:pPr>
        <w:pStyle w:val="3"/>
        <w:numPr>
          <w:ilvl w:val="0"/>
          <w:numId w:val="2"/>
        </w:numPr>
        <w:ind w:firstLine="640" w:firstLineChars="200"/>
        <w:rPr>
          <w:rFonts w:ascii="仿宋" w:hAnsi="仿宋" w:eastAsia="仿宋" w:cs="仿宋"/>
          <w:bCs w:val="0"/>
          <w:sz w:val="32"/>
          <w:szCs w:val="32"/>
          <w:lang w:eastAsia="zh-CN"/>
        </w:rPr>
      </w:pPr>
      <w:r>
        <w:rPr>
          <w:rFonts w:hint="eastAsia" w:ascii="仿宋" w:hAnsi="仿宋" w:eastAsia="仿宋" w:cs="仿宋"/>
          <w:bCs w:val="0"/>
          <w:sz w:val="32"/>
          <w:szCs w:val="32"/>
          <w:lang w:eastAsia="zh-CN"/>
        </w:rPr>
        <w:t>此次“窦圌山景区步游道和观光缆车改造工程一标段（窦圌山索道改建项目）工程勘察服务”最高限价为人民币250000元。</w:t>
      </w:r>
    </w:p>
    <w:p w14:paraId="55DD9677">
      <w:pPr>
        <w:pStyle w:val="2"/>
        <w:ind w:left="0" w:leftChars="0" w:firstLine="640" w:firstLineChars="200"/>
        <w:rPr>
          <w:rFonts w:hint="eastAsia" w:ascii="仿宋" w:hAnsi="仿宋" w:eastAsia="仿宋" w:cs="仿宋"/>
          <w:bCs w:val="0"/>
          <w:color w:val="auto"/>
          <w:spacing w:val="0"/>
          <w:w w:val="100"/>
          <w:position w:val="0"/>
          <w:sz w:val="32"/>
          <w:szCs w:val="32"/>
          <w:shd w:val="clear" w:color="auto" w:fill="auto"/>
          <w:lang w:val="en-US" w:eastAsia="zh-CN" w:bidi="en-US"/>
        </w:rPr>
      </w:pPr>
      <w:r>
        <w:rPr>
          <w:rFonts w:hint="eastAsia" w:ascii="仿宋" w:hAnsi="仿宋" w:eastAsia="仿宋" w:cs="仿宋"/>
          <w:bCs w:val="0"/>
          <w:color w:val="auto"/>
          <w:spacing w:val="0"/>
          <w:w w:val="100"/>
          <w:position w:val="0"/>
          <w:sz w:val="32"/>
          <w:szCs w:val="32"/>
          <w:shd w:val="clear" w:color="auto" w:fill="auto"/>
          <w:lang w:val="en-US" w:eastAsia="zh-CN" w:bidi="en-US"/>
        </w:rPr>
        <w:t>2、本项目勘察估算布置19个勘探孔（设备2处勘探孔8个，站房2处勘探孔8个，索道基础勘探孔7个）。预估单孔钻孔进尺15m、N120超重型动力触探进尺2.0m。场地土层主要为填土、碎石土、岩石。岩土类别为Ⅲ、Ⅳ、Ⅴ、Ⅵ类。</w:t>
      </w:r>
    </w:p>
    <w:p w14:paraId="153099DF">
      <w:pPr>
        <w:pStyle w:val="2"/>
        <w:numPr>
          <w:ilvl w:val="0"/>
          <w:numId w:val="0"/>
        </w:numPr>
        <w:ind w:right="0" w:rightChars="0" w:firstLine="640" w:firstLineChars="200"/>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lang w:val="en-US" w:eastAsia="zh-CN"/>
        </w:rPr>
        <w:t>3、</w:t>
      </w:r>
      <w:r>
        <w:rPr>
          <w:rFonts w:hint="eastAsia" w:ascii="仿宋" w:hAnsi="仿宋" w:eastAsia="仿宋" w:cs="仿宋"/>
          <w:sz w:val="32"/>
          <w:szCs w:val="32"/>
          <w:highlight w:val="none"/>
          <w:lang w:eastAsia="zh-CN"/>
        </w:rPr>
        <w:t>成果构成：正式成果含勘察报告、表格、</w:t>
      </w:r>
      <w:r>
        <w:rPr>
          <w:rFonts w:hint="eastAsia" w:ascii="仿宋" w:hAnsi="仿宋" w:eastAsia="仿宋" w:cs="仿宋"/>
          <w:sz w:val="32"/>
          <w:szCs w:val="32"/>
          <w:lang w:eastAsia="zh-CN"/>
        </w:rPr>
        <w:t>图纸等内容；成果达到</w:t>
      </w:r>
      <w:r>
        <w:rPr>
          <w:rFonts w:hint="eastAsia" w:ascii="仿宋" w:hAnsi="仿宋" w:eastAsia="仿宋" w:cs="仿宋"/>
          <w:sz w:val="32"/>
          <w:szCs w:val="32"/>
          <w:highlight w:val="none"/>
          <w:lang w:eastAsia="zh-CN"/>
        </w:rPr>
        <w:t>国家现行规范《岩土工程勘察规范》和江油市地方标准执的相关要求。</w:t>
      </w:r>
    </w:p>
    <w:p w14:paraId="794E60D8">
      <w:pPr>
        <w:ind w:firstLine="640" w:firstLineChars="200"/>
        <w:rPr>
          <w:rFonts w:hint="default" w:ascii="仿宋" w:hAnsi="仿宋" w:eastAsia="仿宋" w:cs="仿宋"/>
          <w:color w:val="auto"/>
          <w:spacing w:val="0"/>
          <w:w w:val="100"/>
          <w:position w:val="0"/>
          <w:sz w:val="32"/>
          <w:szCs w:val="32"/>
          <w:highlight w:val="none"/>
          <w:shd w:val="clear" w:color="auto" w:fill="auto"/>
          <w:lang w:val="en-US" w:eastAsia="zh-CN" w:bidi="en-US"/>
        </w:rPr>
      </w:pPr>
      <w:r>
        <w:rPr>
          <w:rFonts w:hint="eastAsia" w:ascii="仿宋" w:hAnsi="仿宋" w:eastAsia="仿宋" w:cs="仿宋"/>
          <w:color w:val="auto"/>
          <w:spacing w:val="0"/>
          <w:w w:val="100"/>
          <w:position w:val="0"/>
          <w:sz w:val="32"/>
          <w:szCs w:val="32"/>
          <w:highlight w:val="none"/>
          <w:shd w:val="clear" w:color="auto" w:fill="auto"/>
          <w:lang w:val="en-US" w:eastAsia="zh-CN" w:bidi="en-US"/>
        </w:rPr>
        <w:t>4</w:t>
      </w:r>
      <w:r>
        <w:rPr>
          <w:rFonts w:hint="default" w:ascii="仿宋" w:hAnsi="仿宋" w:eastAsia="仿宋" w:cs="仿宋"/>
          <w:color w:val="auto"/>
          <w:spacing w:val="0"/>
          <w:w w:val="100"/>
          <w:position w:val="0"/>
          <w:sz w:val="32"/>
          <w:szCs w:val="32"/>
          <w:highlight w:val="none"/>
          <w:shd w:val="clear" w:color="auto" w:fill="auto"/>
          <w:lang w:val="en-US" w:eastAsia="zh-CN" w:bidi="en-US"/>
        </w:rPr>
        <w:t>、中标金额为合同暂定费用，仅用于项目进度款支付，最终</w:t>
      </w:r>
      <w:r>
        <w:rPr>
          <w:rFonts w:hint="eastAsia" w:ascii="仿宋" w:hAnsi="仿宋" w:eastAsia="仿宋" w:cs="仿宋"/>
          <w:color w:val="auto"/>
          <w:spacing w:val="0"/>
          <w:w w:val="100"/>
          <w:position w:val="0"/>
          <w:sz w:val="32"/>
          <w:szCs w:val="32"/>
          <w:highlight w:val="none"/>
          <w:shd w:val="clear" w:color="auto" w:fill="auto"/>
          <w:lang w:val="en-US" w:eastAsia="zh-CN" w:bidi="en-US"/>
        </w:rPr>
        <w:t>勘察费</w:t>
      </w:r>
      <w:r>
        <w:rPr>
          <w:rFonts w:hint="default" w:ascii="仿宋" w:hAnsi="仿宋" w:eastAsia="仿宋" w:cs="仿宋"/>
          <w:color w:val="auto"/>
          <w:spacing w:val="0"/>
          <w:w w:val="100"/>
          <w:position w:val="0"/>
          <w:sz w:val="32"/>
          <w:szCs w:val="32"/>
          <w:highlight w:val="none"/>
          <w:shd w:val="clear" w:color="auto" w:fill="auto"/>
          <w:lang w:val="en-US" w:eastAsia="zh-CN" w:bidi="en-US"/>
        </w:rPr>
        <w:t>以实际完成的</w:t>
      </w:r>
      <w:r>
        <w:rPr>
          <w:rFonts w:hint="eastAsia" w:ascii="仿宋" w:hAnsi="仿宋" w:eastAsia="仿宋" w:cs="仿宋"/>
          <w:color w:val="auto"/>
          <w:spacing w:val="0"/>
          <w:w w:val="100"/>
          <w:position w:val="0"/>
          <w:sz w:val="32"/>
          <w:szCs w:val="32"/>
          <w:highlight w:val="none"/>
          <w:shd w:val="clear" w:color="auto" w:fill="auto"/>
          <w:lang w:val="en-US" w:eastAsia="zh-CN" w:bidi="en-US"/>
        </w:rPr>
        <w:t>勘察</w:t>
      </w:r>
      <w:r>
        <w:rPr>
          <w:rFonts w:hint="default" w:ascii="仿宋" w:hAnsi="仿宋" w:eastAsia="仿宋" w:cs="仿宋"/>
          <w:color w:val="auto"/>
          <w:spacing w:val="0"/>
          <w:w w:val="100"/>
          <w:position w:val="0"/>
          <w:sz w:val="32"/>
          <w:szCs w:val="32"/>
          <w:highlight w:val="none"/>
          <w:shd w:val="clear" w:color="auto" w:fill="auto"/>
          <w:lang w:val="en-US" w:eastAsia="zh-CN" w:bidi="en-US"/>
        </w:rPr>
        <w:t>内容经审计审定价结算，若审定价低于合同暂定费用，则以审定价结算，若审定价高于合同暂定费用，则以合同暂定费用进行结算。</w:t>
      </w:r>
    </w:p>
    <w:p w14:paraId="62C8041B">
      <w:pPr>
        <w:ind w:firstLine="640" w:firstLineChars="200"/>
        <w:rPr>
          <w:rFonts w:hint="default" w:ascii="仿宋" w:hAnsi="仿宋" w:eastAsia="仿宋" w:cs="仿宋"/>
          <w:color w:val="auto"/>
          <w:spacing w:val="0"/>
          <w:w w:val="100"/>
          <w:position w:val="0"/>
          <w:sz w:val="32"/>
          <w:szCs w:val="32"/>
          <w:highlight w:val="none"/>
          <w:shd w:val="clear" w:color="auto" w:fill="auto"/>
          <w:lang w:val="en-US" w:eastAsia="zh-CN" w:bidi="en-US"/>
        </w:rPr>
      </w:pPr>
      <w:r>
        <w:rPr>
          <w:rFonts w:hint="eastAsia" w:ascii="仿宋" w:hAnsi="仿宋" w:eastAsia="仿宋" w:cs="仿宋"/>
          <w:color w:val="auto"/>
          <w:spacing w:val="0"/>
          <w:w w:val="100"/>
          <w:position w:val="0"/>
          <w:sz w:val="32"/>
          <w:szCs w:val="32"/>
          <w:highlight w:val="none"/>
          <w:shd w:val="clear" w:color="auto" w:fill="auto"/>
          <w:lang w:val="en-US" w:eastAsia="zh-CN" w:bidi="en-US"/>
        </w:rPr>
        <w:t>5</w:t>
      </w:r>
      <w:r>
        <w:rPr>
          <w:rFonts w:hint="default" w:ascii="仿宋" w:hAnsi="仿宋" w:eastAsia="仿宋" w:cs="仿宋"/>
          <w:color w:val="auto"/>
          <w:spacing w:val="0"/>
          <w:w w:val="100"/>
          <w:position w:val="0"/>
          <w:sz w:val="32"/>
          <w:szCs w:val="32"/>
          <w:highlight w:val="none"/>
          <w:shd w:val="clear" w:color="auto" w:fill="auto"/>
          <w:lang w:val="en-US" w:eastAsia="zh-CN" w:bidi="en-US"/>
        </w:rPr>
        <w:t>、</w:t>
      </w:r>
      <w:r>
        <w:rPr>
          <w:rFonts w:hint="eastAsia" w:ascii="仿宋" w:hAnsi="仿宋" w:eastAsia="仿宋" w:cs="仿宋"/>
          <w:color w:val="auto"/>
          <w:spacing w:val="0"/>
          <w:w w:val="100"/>
          <w:position w:val="0"/>
          <w:sz w:val="32"/>
          <w:szCs w:val="32"/>
          <w:highlight w:val="none"/>
          <w:shd w:val="clear" w:color="auto" w:fill="auto"/>
          <w:lang w:val="en-US" w:eastAsia="zh-CN" w:bidi="en-US"/>
        </w:rPr>
        <w:t>勘察</w:t>
      </w:r>
      <w:r>
        <w:rPr>
          <w:rFonts w:hint="default" w:ascii="仿宋" w:hAnsi="仿宋" w:eastAsia="仿宋" w:cs="仿宋"/>
          <w:color w:val="auto"/>
          <w:spacing w:val="0"/>
          <w:w w:val="100"/>
          <w:position w:val="0"/>
          <w:sz w:val="32"/>
          <w:szCs w:val="32"/>
          <w:highlight w:val="none"/>
          <w:shd w:val="clear" w:color="auto" w:fill="auto"/>
          <w:lang w:val="en-US" w:eastAsia="zh-CN" w:bidi="en-US"/>
        </w:rPr>
        <w:t>费计算方式为，以实际完成的</w:t>
      </w:r>
      <w:r>
        <w:rPr>
          <w:rFonts w:hint="eastAsia" w:ascii="仿宋" w:hAnsi="仿宋" w:eastAsia="仿宋" w:cs="仿宋"/>
          <w:color w:val="auto"/>
          <w:spacing w:val="0"/>
          <w:w w:val="100"/>
          <w:position w:val="0"/>
          <w:sz w:val="32"/>
          <w:szCs w:val="32"/>
          <w:highlight w:val="none"/>
          <w:shd w:val="clear" w:color="auto" w:fill="auto"/>
          <w:lang w:val="en-US" w:eastAsia="zh-CN" w:bidi="en-US"/>
        </w:rPr>
        <w:t>勘察</w:t>
      </w:r>
      <w:r>
        <w:rPr>
          <w:rFonts w:hint="default" w:ascii="仿宋" w:hAnsi="仿宋" w:eastAsia="仿宋" w:cs="仿宋"/>
          <w:color w:val="auto"/>
          <w:spacing w:val="0"/>
          <w:w w:val="100"/>
          <w:position w:val="0"/>
          <w:sz w:val="32"/>
          <w:szCs w:val="32"/>
          <w:highlight w:val="none"/>
          <w:shd w:val="clear" w:color="auto" w:fill="auto"/>
          <w:lang w:val="en-US" w:eastAsia="zh-CN" w:bidi="en-US"/>
        </w:rPr>
        <w:t>内容按审计审定</w:t>
      </w:r>
      <w:r>
        <w:rPr>
          <w:rFonts w:hint="eastAsia" w:ascii="仿宋" w:hAnsi="仿宋" w:eastAsia="仿宋" w:cs="仿宋"/>
          <w:color w:val="auto"/>
          <w:spacing w:val="0"/>
          <w:w w:val="100"/>
          <w:position w:val="0"/>
          <w:sz w:val="32"/>
          <w:szCs w:val="32"/>
          <w:highlight w:val="none"/>
          <w:shd w:val="clear" w:color="auto" w:fill="auto"/>
          <w:lang w:val="en-US" w:eastAsia="zh-CN" w:bidi="en-US"/>
        </w:rPr>
        <w:t>价</w:t>
      </w:r>
      <w:r>
        <w:rPr>
          <w:rFonts w:hint="default" w:ascii="仿宋" w:hAnsi="仿宋" w:eastAsia="仿宋" w:cs="仿宋"/>
          <w:color w:val="auto"/>
          <w:spacing w:val="0"/>
          <w:w w:val="100"/>
          <w:position w:val="0"/>
          <w:sz w:val="32"/>
          <w:szCs w:val="32"/>
          <w:highlight w:val="none"/>
          <w:shd w:val="clear" w:color="auto" w:fill="auto"/>
          <w:lang w:val="en-US" w:eastAsia="zh-CN" w:bidi="en-US"/>
        </w:rPr>
        <w:t>为计费基数，再乘以中选人投标报价下浮费率进行计算。</w:t>
      </w:r>
    </w:p>
    <w:p w14:paraId="263F29C1">
      <w:pPr>
        <w:ind w:firstLine="640" w:firstLineChars="200"/>
        <w:rPr>
          <w:rFonts w:hint="default"/>
          <w:lang w:val="en-US" w:eastAsia="zh-CN"/>
        </w:rPr>
      </w:pPr>
      <w:r>
        <w:rPr>
          <w:rFonts w:hint="eastAsia" w:ascii="仿宋" w:hAnsi="仿宋" w:eastAsia="仿宋" w:cs="仿宋"/>
          <w:color w:val="auto"/>
          <w:spacing w:val="0"/>
          <w:w w:val="100"/>
          <w:position w:val="0"/>
          <w:sz w:val="32"/>
          <w:szCs w:val="32"/>
          <w:highlight w:val="none"/>
          <w:shd w:val="clear" w:color="auto" w:fill="auto"/>
          <w:lang w:val="en-US" w:eastAsia="zh-CN" w:bidi="en-US"/>
        </w:rPr>
        <w:t>6</w:t>
      </w:r>
      <w:r>
        <w:rPr>
          <w:rFonts w:hint="default" w:ascii="仿宋" w:hAnsi="仿宋" w:eastAsia="仿宋" w:cs="仿宋"/>
          <w:color w:val="auto"/>
          <w:spacing w:val="0"/>
          <w:w w:val="100"/>
          <w:position w:val="0"/>
          <w:sz w:val="32"/>
          <w:szCs w:val="32"/>
          <w:highlight w:val="none"/>
          <w:shd w:val="clear" w:color="auto" w:fill="auto"/>
          <w:lang w:val="en-US" w:eastAsia="zh-CN" w:bidi="en-US"/>
        </w:rPr>
        <w:t>、中选单位必须服从业主单位对</w:t>
      </w:r>
      <w:r>
        <w:rPr>
          <w:rFonts w:hint="eastAsia" w:ascii="仿宋" w:hAnsi="仿宋" w:eastAsia="仿宋" w:cs="仿宋"/>
          <w:color w:val="auto"/>
          <w:spacing w:val="0"/>
          <w:w w:val="100"/>
          <w:position w:val="0"/>
          <w:sz w:val="32"/>
          <w:szCs w:val="32"/>
          <w:highlight w:val="none"/>
          <w:shd w:val="clear" w:color="auto" w:fill="auto"/>
          <w:lang w:val="en-US" w:eastAsia="zh-CN" w:bidi="en-US"/>
        </w:rPr>
        <w:t>勘察</w:t>
      </w:r>
      <w:r>
        <w:rPr>
          <w:rFonts w:hint="default" w:ascii="仿宋" w:hAnsi="仿宋" w:eastAsia="仿宋" w:cs="仿宋"/>
          <w:color w:val="auto"/>
          <w:spacing w:val="0"/>
          <w:w w:val="100"/>
          <w:position w:val="0"/>
          <w:sz w:val="32"/>
          <w:szCs w:val="32"/>
          <w:highlight w:val="none"/>
          <w:shd w:val="clear" w:color="auto" w:fill="auto"/>
          <w:lang w:val="en-US" w:eastAsia="zh-CN" w:bidi="en-US"/>
        </w:rPr>
        <w:t>内容的调整</w:t>
      </w:r>
      <w:r>
        <w:rPr>
          <w:rFonts w:hint="default"/>
          <w:lang w:val="en-US" w:eastAsia="zh-CN"/>
        </w:rPr>
        <w:t>。</w:t>
      </w:r>
    </w:p>
    <w:p w14:paraId="048BCC98">
      <w:pPr>
        <w:ind w:firstLine="640" w:firstLineChars="200"/>
        <w:rPr>
          <w:rFonts w:ascii="黑体" w:hAnsi="黑体" w:eastAsia="黑体" w:cs="黑体"/>
          <w:sz w:val="32"/>
          <w:szCs w:val="32"/>
          <w:lang w:eastAsia="zh-CN"/>
        </w:rPr>
      </w:pPr>
      <w:r>
        <w:rPr>
          <w:rFonts w:hint="eastAsia" w:ascii="黑体" w:hAnsi="黑体" w:eastAsia="黑体" w:cs="黑体"/>
          <w:sz w:val="32"/>
          <w:szCs w:val="32"/>
          <w:lang w:val="en-US" w:eastAsia="zh-CN"/>
        </w:rPr>
        <w:t>三、</w:t>
      </w:r>
      <w:r>
        <w:rPr>
          <w:rFonts w:hint="eastAsia" w:ascii="黑体" w:hAnsi="黑体" w:eastAsia="黑体" w:cs="黑体"/>
          <w:sz w:val="32"/>
          <w:szCs w:val="32"/>
          <w:lang w:eastAsia="zh-CN"/>
        </w:rPr>
        <w:t>备注</w:t>
      </w:r>
      <w:bookmarkStart w:id="0" w:name="_GoBack"/>
      <w:bookmarkEnd w:id="0"/>
    </w:p>
    <w:p w14:paraId="023488C3">
      <w:pPr>
        <w:spacing w:line="574" w:lineRule="exact"/>
        <w:ind w:firstLine="640" w:firstLineChars="200"/>
        <w:rPr>
          <w:rFonts w:ascii="仿宋" w:hAnsi="仿宋" w:eastAsia="仿宋" w:cs="仿宋"/>
          <w:sz w:val="32"/>
          <w:szCs w:val="32"/>
          <w:lang w:eastAsia="zh-CN"/>
        </w:rPr>
      </w:pPr>
      <w:r>
        <w:rPr>
          <w:rFonts w:ascii="仿宋" w:hAnsi="仿宋" w:eastAsia="仿宋" w:cs="仿宋"/>
          <w:sz w:val="32"/>
          <w:szCs w:val="32"/>
          <w:lang w:eastAsia="zh-CN"/>
        </w:rPr>
        <w:t>1</w:t>
      </w:r>
      <w:r>
        <w:rPr>
          <w:rFonts w:hint="eastAsia" w:ascii="仿宋" w:hAnsi="仿宋" w:eastAsia="仿宋" w:cs="仿宋"/>
          <w:sz w:val="32"/>
          <w:szCs w:val="32"/>
          <w:lang w:eastAsia="zh-CN"/>
        </w:rPr>
        <w:t>、报价需包含人工费、差旅费、装订费、勘测费、税金等费用；</w:t>
      </w:r>
    </w:p>
    <w:p w14:paraId="2E0558F9">
      <w:pPr>
        <w:spacing w:line="574" w:lineRule="exact"/>
        <w:ind w:firstLine="640" w:firstLineChars="200"/>
        <w:rPr>
          <w:rFonts w:ascii="黑体" w:hAnsi="黑体" w:eastAsia="黑体" w:cs="黑体"/>
          <w:sz w:val="32"/>
          <w:szCs w:val="32"/>
          <w:lang w:eastAsia="zh-CN"/>
        </w:rPr>
      </w:pPr>
      <w:r>
        <w:rPr>
          <w:rFonts w:ascii="仿宋" w:hAnsi="仿宋" w:eastAsia="仿宋" w:cs="仿宋"/>
          <w:sz w:val="32"/>
          <w:szCs w:val="32"/>
          <w:lang w:eastAsia="zh-CN"/>
        </w:rPr>
        <w:t>2</w:t>
      </w:r>
      <w:r>
        <w:rPr>
          <w:rFonts w:hint="eastAsia" w:ascii="仿宋" w:hAnsi="仿宋" w:eastAsia="仿宋" w:cs="仿宋"/>
          <w:sz w:val="32"/>
          <w:szCs w:val="32"/>
          <w:lang w:eastAsia="zh-CN"/>
        </w:rPr>
        <w:t>、服务内容必须与上述明细表完全吻合。</w:t>
      </w:r>
    </w:p>
    <w:p w14:paraId="1E330E5E">
      <w:pPr>
        <w:pStyle w:val="6"/>
        <w:ind w:left="0" w:leftChars="0" w:firstLine="640"/>
        <w:rPr>
          <w:rFonts w:ascii="黑体" w:hAnsi="黑体" w:eastAsia="黑体" w:cs="黑体"/>
          <w:sz w:val="32"/>
          <w:szCs w:val="32"/>
          <w:lang w:eastAsia="zh-CN"/>
        </w:rPr>
      </w:pPr>
      <w:r>
        <w:rPr>
          <w:rFonts w:hint="eastAsia" w:ascii="黑体" w:hAnsi="黑体" w:eastAsia="黑体" w:cs="黑体"/>
          <w:sz w:val="32"/>
          <w:szCs w:val="32"/>
          <w:lang w:eastAsia="zh-CN"/>
        </w:rPr>
        <w:t>四、商务要求</w:t>
      </w:r>
    </w:p>
    <w:tbl>
      <w:tblPr>
        <w:tblStyle w:val="15"/>
        <w:tblW w:w="960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0"/>
        <w:gridCol w:w="2751"/>
        <w:gridCol w:w="5807"/>
      </w:tblGrid>
      <w:tr w14:paraId="07401A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jc w:val="center"/>
        </w:trPr>
        <w:tc>
          <w:tcPr>
            <w:tcW w:w="1050" w:type="dxa"/>
            <w:vAlign w:val="center"/>
          </w:tcPr>
          <w:p w14:paraId="27BAF1AF">
            <w:pPr>
              <w:adjustRightInd w:val="0"/>
              <w:spacing w:line="320" w:lineRule="exact"/>
              <w:ind w:firstLine="514"/>
              <w:jc w:val="center"/>
              <w:rPr>
                <w:rFonts w:ascii="宋体" w:hAnsi="宋体" w:eastAsia="宋体" w:cs="宋体"/>
                <w:sz w:val="28"/>
                <w:szCs w:val="28"/>
              </w:rPr>
            </w:pPr>
            <w:r>
              <w:rPr>
                <w:rFonts w:hint="eastAsia" w:ascii="宋体" w:hAnsi="宋体"/>
                <w:b/>
                <w:bCs/>
                <w:spacing w:val="8"/>
              </w:rPr>
              <w:t>序号</w:t>
            </w:r>
          </w:p>
        </w:tc>
        <w:tc>
          <w:tcPr>
            <w:tcW w:w="2751" w:type="dxa"/>
            <w:vAlign w:val="center"/>
          </w:tcPr>
          <w:p w14:paraId="49D68FA1">
            <w:pPr>
              <w:adjustRightInd w:val="0"/>
              <w:spacing w:line="320" w:lineRule="exact"/>
              <w:ind w:firstLine="514"/>
              <w:jc w:val="center"/>
              <w:rPr>
                <w:rFonts w:ascii="宋体" w:hAnsi="宋体" w:eastAsia="宋体" w:cs="宋体"/>
                <w:sz w:val="28"/>
                <w:szCs w:val="28"/>
              </w:rPr>
            </w:pPr>
            <w:r>
              <w:rPr>
                <w:rFonts w:hint="eastAsia" w:ascii="宋体" w:hAnsi="宋体"/>
                <w:b/>
                <w:bCs/>
                <w:spacing w:val="8"/>
              </w:rPr>
              <w:t>内容</w:t>
            </w:r>
          </w:p>
        </w:tc>
        <w:tc>
          <w:tcPr>
            <w:tcW w:w="5807" w:type="dxa"/>
            <w:vAlign w:val="center"/>
          </w:tcPr>
          <w:p w14:paraId="4750F126">
            <w:pPr>
              <w:adjustRightInd w:val="0"/>
              <w:spacing w:line="320" w:lineRule="exact"/>
              <w:ind w:firstLine="514"/>
              <w:jc w:val="center"/>
              <w:rPr>
                <w:rFonts w:ascii="宋体" w:hAnsi="宋体" w:eastAsia="宋体" w:cs="宋体"/>
                <w:sz w:val="28"/>
                <w:szCs w:val="28"/>
              </w:rPr>
            </w:pPr>
            <w:r>
              <w:rPr>
                <w:rFonts w:hint="eastAsia" w:ascii="宋体" w:hAnsi="宋体"/>
                <w:b/>
                <w:bCs/>
                <w:spacing w:val="8"/>
              </w:rPr>
              <w:t>招标/采购要求</w:t>
            </w:r>
          </w:p>
        </w:tc>
      </w:tr>
      <w:tr w14:paraId="6108AF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050" w:type="dxa"/>
          </w:tcPr>
          <w:p w14:paraId="41490040">
            <w:pPr>
              <w:widowControl/>
              <w:kinsoku w:val="0"/>
              <w:autoSpaceDE w:val="0"/>
              <w:autoSpaceDN w:val="0"/>
              <w:adjustRightInd w:val="0"/>
              <w:snapToGrid w:val="0"/>
              <w:spacing w:line="540" w:lineRule="exact"/>
              <w:ind w:firstLine="560"/>
              <w:jc w:val="center"/>
              <w:textAlignment w:val="baseline"/>
              <w:rPr>
                <w:rFonts w:ascii="仿宋_GB2312" w:hAnsi="仿宋_GB2312" w:eastAsia="仿宋_GB2312" w:cs="仿宋_GB2312"/>
                <w:sz w:val="32"/>
                <w:szCs w:val="32"/>
                <w:lang w:eastAsia="zh-CN"/>
              </w:rPr>
            </w:pPr>
            <w:r>
              <w:rPr>
                <w:rFonts w:hint="eastAsia" w:ascii="宋体" w:hAnsi="宋体" w:eastAsia="宋体" w:cs="宋体"/>
                <w:sz w:val="28"/>
                <w:szCs w:val="28"/>
                <w:lang w:eastAsia="zh-CN"/>
              </w:rPr>
              <w:t>1</w:t>
            </w:r>
          </w:p>
        </w:tc>
        <w:tc>
          <w:tcPr>
            <w:tcW w:w="2751" w:type="dxa"/>
          </w:tcPr>
          <w:p w14:paraId="289B7895">
            <w:pPr>
              <w:widowControl/>
              <w:kinsoku w:val="0"/>
              <w:autoSpaceDE w:val="0"/>
              <w:autoSpaceDN w:val="0"/>
              <w:adjustRightInd w:val="0"/>
              <w:snapToGrid w:val="0"/>
              <w:spacing w:line="540" w:lineRule="exact"/>
              <w:ind w:firstLine="560"/>
              <w:jc w:val="center"/>
              <w:textAlignment w:val="baseline"/>
              <w:rPr>
                <w:rFonts w:ascii="仿宋_GB2312" w:hAnsi="仿宋_GB2312" w:eastAsia="仿宋_GB2312" w:cs="仿宋_GB2312"/>
                <w:sz w:val="32"/>
                <w:szCs w:val="32"/>
                <w:lang w:eastAsia="zh-CN"/>
              </w:rPr>
            </w:pPr>
            <w:r>
              <w:rPr>
                <w:rFonts w:hint="eastAsia" w:ascii="宋体" w:hAnsi="宋体" w:eastAsia="宋体" w:cs="宋体"/>
                <w:sz w:val="28"/>
                <w:szCs w:val="28"/>
                <w:lang w:eastAsia="zh-CN"/>
              </w:rPr>
              <w:t>服</w:t>
            </w:r>
            <w:r>
              <w:rPr>
                <w:rFonts w:hint="eastAsia" w:hAnsi="宋体" w:cs="宋体"/>
                <w:sz w:val="28"/>
                <w:szCs w:val="28"/>
                <w:lang w:eastAsia="zh-CN"/>
              </w:rPr>
              <w:t>务对象</w:t>
            </w:r>
          </w:p>
        </w:tc>
        <w:tc>
          <w:tcPr>
            <w:tcW w:w="5807" w:type="dxa"/>
          </w:tcPr>
          <w:p w14:paraId="6F6DC418">
            <w:pPr>
              <w:widowControl/>
              <w:tabs>
                <w:tab w:val="left" w:pos="520"/>
                <w:tab w:val="center" w:pos="3998"/>
              </w:tabs>
              <w:kinsoku w:val="0"/>
              <w:autoSpaceDE w:val="0"/>
              <w:autoSpaceDN w:val="0"/>
              <w:adjustRightInd w:val="0"/>
              <w:snapToGrid w:val="0"/>
              <w:spacing w:line="540" w:lineRule="exact"/>
              <w:ind w:firstLine="560"/>
              <w:jc w:val="center"/>
              <w:textAlignment w:val="baseline"/>
              <w:rPr>
                <w:rFonts w:ascii="仿宋_GB2312" w:hAnsi="仿宋_GB2312" w:eastAsia="仿宋_GB2312" w:cs="仿宋_GB2312"/>
                <w:sz w:val="32"/>
                <w:szCs w:val="32"/>
                <w:lang w:eastAsia="zh-CN"/>
              </w:rPr>
            </w:pPr>
            <w:r>
              <w:rPr>
                <w:rFonts w:ascii="宋体" w:hAnsi="宋体" w:eastAsia="宋体" w:cs="宋体"/>
                <w:sz w:val="28"/>
                <w:szCs w:val="28"/>
                <w:lang w:eastAsia="zh-CN"/>
              </w:rPr>
              <w:t>四川江油画屏尚景景区管理有限责任公司</w:t>
            </w:r>
          </w:p>
        </w:tc>
      </w:tr>
      <w:tr w14:paraId="1B3E23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050" w:type="dxa"/>
          </w:tcPr>
          <w:p w14:paraId="2554BD67">
            <w:pPr>
              <w:widowControl/>
              <w:kinsoku w:val="0"/>
              <w:autoSpaceDE w:val="0"/>
              <w:autoSpaceDN w:val="0"/>
              <w:adjustRightInd w:val="0"/>
              <w:snapToGrid w:val="0"/>
              <w:spacing w:line="540" w:lineRule="exact"/>
              <w:ind w:firstLine="560"/>
              <w:jc w:val="center"/>
              <w:textAlignment w:val="baseline"/>
              <w:rPr>
                <w:rFonts w:ascii="宋体" w:hAnsi="宋体" w:eastAsia="宋体" w:cs="宋体"/>
                <w:sz w:val="28"/>
                <w:szCs w:val="28"/>
                <w:lang w:eastAsia="zh-CN"/>
              </w:rPr>
            </w:pPr>
            <w:r>
              <w:rPr>
                <w:rFonts w:hint="eastAsia" w:ascii="宋体" w:hAnsi="宋体" w:eastAsia="宋体" w:cs="宋体"/>
                <w:sz w:val="28"/>
                <w:szCs w:val="28"/>
                <w:lang w:eastAsia="zh-CN"/>
              </w:rPr>
              <w:t>2</w:t>
            </w:r>
          </w:p>
        </w:tc>
        <w:tc>
          <w:tcPr>
            <w:tcW w:w="2751" w:type="dxa"/>
          </w:tcPr>
          <w:p w14:paraId="3EF2E43F">
            <w:pPr>
              <w:widowControl/>
              <w:kinsoku w:val="0"/>
              <w:autoSpaceDE w:val="0"/>
              <w:autoSpaceDN w:val="0"/>
              <w:adjustRightInd w:val="0"/>
              <w:snapToGrid w:val="0"/>
              <w:spacing w:line="540" w:lineRule="exact"/>
              <w:ind w:firstLine="560"/>
              <w:jc w:val="center"/>
              <w:textAlignment w:val="baseline"/>
              <w:rPr>
                <w:rFonts w:hAnsi="宋体" w:cs="宋体"/>
                <w:sz w:val="28"/>
                <w:szCs w:val="28"/>
                <w:lang w:eastAsia="zh-CN"/>
              </w:rPr>
            </w:pPr>
            <w:r>
              <w:rPr>
                <w:rFonts w:hint="eastAsia" w:ascii="宋体" w:hAnsi="宋体" w:eastAsia="宋体" w:cs="宋体"/>
                <w:sz w:val="28"/>
                <w:szCs w:val="28"/>
                <w:lang w:eastAsia="zh-CN"/>
              </w:rPr>
              <w:t>服</w:t>
            </w:r>
            <w:r>
              <w:rPr>
                <w:rFonts w:hint="eastAsia" w:hAnsi="宋体" w:cs="宋体"/>
                <w:sz w:val="28"/>
                <w:szCs w:val="28"/>
                <w:lang w:eastAsia="zh-CN"/>
              </w:rPr>
              <w:t>务地点</w:t>
            </w:r>
          </w:p>
        </w:tc>
        <w:tc>
          <w:tcPr>
            <w:tcW w:w="5807" w:type="dxa"/>
          </w:tcPr>
          <w:p w14:paraId="072B17D6">
            <w:pPr>
              <w:widowControl/>
              <w:tabs>
                <w:tab w:val="left" w:pos="520"/>
                <w:tab w:val="center" w:pos="3998"/>
              </w:tabs>
              <w:kinsoku w:val="0"/>
              <w:autoSpaceDE w:val="0"/>
              <w:autoSpaceDN w:val="0"/>
              <w:adjustRightInd w:val="0"/>
              <w:snapToGrid w:val="0"/>
              <w:spacing w:line="540" w:lineRule="exact"/>
              <w:ind w:firstLine="560"/>
              <w:jc w:val="center"/>
              <w:textAlignment w:val="baseline"/>
              <w:rPr>
                <w:rFonts w:ascii="宋体" w:hAnsi="宋体" w:eastAsia="宋体" w:cs="宋体"/>
                <w:sz w:val="28"/>
                <w:szCs w:val="28"/>
                <w:lang w:eastAsia="zh-CN"/>
              </w:rPr>
            </w:pPr>
            <w:r>
              <w:rPr>
                <w:rFonts w:hint="eastAsia" w:ascii="宋体" w:hAnsi="宋体" w:eastAsia="宋体" w:cs="宋体"/>
                <w:sz w:val="28"/>
                <w:szCs w:val="28"/>
                <w:lang w:eastAsia="zh-CN"/>
              </w:rPr>
              <w:t>江油市武都镇窦圌山景区</w:t>
            </w:r>
          </w:p>
        </w:tc>
      </w:tr>
      <w:tr w14:paraId="4283F3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4" w:hRule="atLeast"/>
          <w:jc w:val="center"/>
        </w:trPr>
        <w:tc>
          <w:tcPr>
            <w:tcW w:w="1050" w:type="dxa"/>
          </w:tcPr>
          <w:p w14:paraId="39D6F0F9">
            <w:pPr>
              <w:widowControl/>
              <w:kinsoku w:val="0"/>
              <w:autoSpaceDE w:val="0"/>
              <w:autoSpaceDN w:val="0"/>
              <w:adjustRightInd w:val="0"/>
              <w:snapToGrid w:val="0"/>
              <w:spacing w:line="540" w:lineRule="exact"/>
              <w:ind w:firstLine="560"/>
              <w:jc w:val="center"/>
              <w:textAlignment w:val="baseline"/>
              <w:rPr>
                <w:rFonts w:ascii="仿宋_GB2312" w:hAnsi="仿宋_GB2312" w:eastAsia="仿宋_GB2312" w:cs="仿宋_GB2312"/>
                <w:sz w:val="32"/>
                <w:szCs w:val="32"/>
                <w:lang w:eastAsia="zh-CN"/>
              </w:rPr>
            </w:pPr>
            <w:r>
              <w:rPr>
                <w:rFonts w:hint="eastAsia" w:ascii="宋体" w:hAnsi="宋体" w:eastAsia="宋体" w:cs="宋体"/>
                <w:sz w:val="28"/>
                <w:szCs w:val="28"/>
                <w:lang w:eastAsia="zh-CN"/>
              </w:rPr>
              <w:t>3</w:t>
            </w:r>
          </w:p>
        </w:tc>
        <w:tc>
          <w:tcPr>
            <w:tcW w:w="2751" w:type="dxa"/>
          </w:tcPr>
          <w:p w14:paraId="05E75295">
            <w:pPr>
              <w:widowControl/>
              <w:kinsoku w:val="0"/>
              <w:autoSpaceDE w:val="0"/>
              <w:autoSpaceDN w:val="0"/>
              <w:adjustRightInd w:val="0"/>
              <w:snapToGrid w:val="0"/>
              <w:spacing w:line="540" w:lineRule="exact"/>
              <w:ind w:firstLine="560"/>
              <w:jc w:val="center"/>
              <w:textAlignment w:val="baseline"/>
              <w:rPr>
                <w:rFonts w:ascii="仿宋_GB2312" w:hAnsi="仿宋_GB2312" w:eastAsia="仿宋_GB2312" w:cs="仿宋_GB2312"/>
                <w:sz w:val="32"/>
                <w:szCs w:val="32"/>
                <w:lang w:val="zh-CN" w:eastAsia="zh-CN"/>
              </w:rPr>
            </w:pPr>
            <w:r>
              <w:rPr>
                <w:rFonts w:hint="eastAsia" w:ascii="宋体" w:hAnsi="宋体" w:eastAsia="宋体" w:cs="宋体"/>
                <w:sz w:val="28"/>
                <w:szCs w:val="28"/>
                <w:lang w:eastAsia="zh-CN"/>
              </w:rPr>
              <w:t>履约､验收要求与标准</w:t>
            </w:r>
          </w:p>
        </w:tc>
        <w:tc>
          <w:tcPr>
            <w:tcW w:w="5807" w:type="dxa"/>
          </w:tcPr>
          <w:p w14:paraId="1657D49B">
            <w:pPr>
              <w:widowControl/>
              <w:kinsoku w:val="0"/>
              <w:autoSpaceDE w:val="0"/>
              <w:autoSpaceDN w:val="0"/>
              <w:adjustRightInd w:val="0"/>
              <w:snapToGrid w:val="0"/>
              <w:spacing w:line="540" w:lineRule="exact"/>
              <w:ind w:firstLine="560"/>
              <w:jc w:val="center"/>
              <w:textAlignment w:val="baseline"/>
              <w:rPr>
                <w:rFonts w:ascii="仿宋_GB2312" w:hAnsi="仿宋_GB2312" w:eastAsia="仿宋_GB2312" w:cs="仿宋_GB2312"/>
                <w:sz w:val="32"/>
                <w:szCs w:val="32"/>
                <w:lang w:eastAsia="zh-CN"/>
              </w:rPr>
            </w:pPr>
            <w:r>
              <w:rPr>
                <w:rFonts w:hint="eastAsia" w:ascii="宋体" w:hAnsi="宋体" w:eastAsia="宋体" w:cs="宋体"/>
                <w:sz w:val="28"/>
                <w:szCs w:val="28"/>
              </w:rPr>
              <w:t>按</w:t>
            </w:r>
            <w:r>
              <w:rPr>
                <w:rFonts w:hint="eastAsia" w:ascii="宋体" w:hAnsi="宋体" w:eastAsia="宋体" w:cs="宋体"/>
                <w:sz w:val="28"/>
                <w:szCs w:val="28"/>
                <w:lang w:eastAsia="zh-CN"/>
              </w:rPr>
              <w:t>合同</w:t>
            </w:r>
            <w:r>
              <w:rPr>
                <w:rFonts w:hint="eastAsia" w:ascii="宋体" w:hAnsi="宋体" w:eastAsia="宋体" w:cs="宋体"/>
                <w:sz w:val="28"/>
                <w:szCs w:val="28"/>
              </w:rPr>
              <w:t>要求验收</w:t>
            </w:r>
          </w:p>
        </w:tc>
      </w:tr>
      <w:tr w14:paraId="2CEB49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jc w:val="center"/>
        </w:trPr>
        <w:tc>
          <w:tcPr>
            <w:tcW w:w="1050" w:type="dxa"/>
          </w:tcPr>
          <w:p w14:paraId="5B2D1A33">
            <w:pPr>
              <w:widowControl/>
              <w:kinsoku w:val="0"/>
              <w:autoSpaceDE w:val="0"/>
              <w:autoSpaceDN w:val="0"/>
              <w:adjustRightInd w:val="0"/>
              <w:snapToGrid w:val="0"/>
              <w:spacing w:line="540" w:lineRule="exact"/>
              <w:ind w:firstLine="560"/>
              <w:jc w:val="center"/>
              <w:textAlignment w:val="baseline"/>
              <w:rPr>
                <w:rFonts w:ascii="仿宋_GB2312" w:hAnsi="仿宋_GB2312" w:eastAsia="仿宋_GB2312" w:cs="仿宋_GB2312"/>
                <w:sz w:val="32"/>
                <w:szCs w:val="32"/>
                <w:lang w:eastAsia="zh-CN"/>
              </w:rPr>
            </w:pPr>
            <w:r>
              <w:rPr>
                <w:rFonts w:hint="eastAsia" w:ascii="宋体" w:hAnsi="宋体" w:eastAsia="宋体" w:cs="宋体"/>
                <w:sz w:val="28"/>
                <w:szCs w:val="28"/>
                <w:lang w:eastAsia="zh-CN"/>
              </w:rPr>
              <w:t>4</w:t>
            </w:r>
          </w:p>
        </w:tc>
        <w:tc>
          <w:tcPr>
            <w:tcW w:w="2751" w:type="dxa"/>
          </w:tcPr>
          <w:p w14:paraId="6C52F3BC">
            <w:pPr>
              <w:widowControl/>
              <w:kinsoku w:val="0"/>
              <w:autoSpaceDE w:val="0"/>
              <w:autoSpaceDN w:val="0"/>
              <w:adjustRightInd w:val="0"/>
              <w:snapToGrid w:val="0"/>
              <w:spacing w:line="540" w:lineRule="exact"/>
              <w:ind w:firstLine="560"/>
              <w:jc w:val="center"/>
              <w:textAlignment w:val="baseline"/>
              <w:rPr>
                <w:rFonts w:ascii="仿宋_GB2312" w:hAnsi="仿宋_GB2312" w:eastAsia="仿宋_GB2312" w:cs="仿宋_GB2312"/>
                <w:sz w:val="32"/>
                <w:szCs w:val="32"/>
                <w:lang w:val="zh-CN"/>
              </w:rPr>
            </w:pPr>
            <w:r>
              <w:rPr>
                <w:rFonts w:hint="eastAsia" w:ascii="宋体" w:hAnsi="宋体" w:eastAsia="宋体" w:cs="宋体"/>
                <w:sz w:val="28"/>
                <w:szCs w:val="28"/>
              </w:rPr>
              <w:t>款项支付方式</w:t>
            </w:r>
          </w:p>
        </w:tc>
        <w:tc>
          <w:tcPr>
            <w:tcW w:w="5807" w:type="dxa"/>
          </w:tcPr>
          <w:p w14:paraId="455D7200">
            <w:pPr>
              <w:widowControl/>
              <w:kinsoku w:val="0"/>
              <w:autoSpaceDE w:val="0"/>
              <w:autoSpaceDN w:val="0"/>
              <w:adjustRightInd w:val="0"/>
              <w:snapToGrid w:val="0"/>
              <w:spacing w:line="540" w:lineRule="exact"/>
              <w:ind w:firstLine="560"/>
              <w:jc w:val="center"/>
              <w:textAlignment w:val="baseline"/>
              <w:rPr>
                <w:lang w:eastAsia="zh-CN"/>
              </w:rPr>
            </w:pPr>
            <w:r>
              <w:rPr>
                <w:rFonts w:ascii="宋体" w:hAnsi="宋体" w:eastAsia="宋体" w:cs="宋体"/>
                <w:sz w:val="28"/>
                <w:szCs w:val="28"/>
                <w:lang w:eastAsia="zh-CN"/>
              </w:rPr>
              <w:t>详见：合同主要条款</w:t>
            </w:r>
          </w:p>
        </w:tc>
      </w:tr>
      <w:tr w14:paraId="15557F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050" w:type="dxa"/>
            <w:vAlign w:val="center"/>
          </w:tcPr>
          <w:p w14:paraId="597C566E">
            <w:pPr>
              <w:widowControl/>
              <w:kinsoku w:val="0"/>
              <w:autoSpaceDE w:val="0"/>
              <w:autoSpaceDN w:val="0"/>
              <w:adjustRightInd w:val="0"/>
              <w:snapToGrid w:val="0"/>
              <w:spacing w:line="540" w:lineRule="exact"/>
              <w:ind w:firstLine="560"/>
              <w:jc w:val="center"/>
              <w:textAlignment w:val="baseline"/>
              <w:rPr>
                <w:rFonts w:ascii="仿宋_GB2312" w:hAnsi="仿宋_GB2312" w:eastAsia="仿宋_GB2312" w:cs="仿宋_GB2312"/>
                <w:sz w:val="32"/>
                <w:szCs w:val="32"/>
                <w:lang w:eastAsia="zh-CN"/>
              </w:rPr>
            </w:pPr>
            <w:r>
              <w:rPr>
                <w:rFonts w:hint="eastAsia" w:ascii="宋体" w:hAnsi="宋体" w:eastAsia="宋体" w:cs="宋体"/>
                <w:sz w:val="28"/>
                <w:szCs w:val="28"/>
                <w:lang w:eastAsia="zh-CN"/>
              </w:rPr>
              <w:t>5</w:t>
            </w:r>
          </w:p>
        </w:tc>
        <w:tc>
          <w:tcPr>
            <w:tcW w:w="2751" w:type="dxa"/>
            <w:vAlign w:val="center"/>
          </w:tcPr>
          <w:p w14:paraId="120CA2F0">
            <w:pPr>
              <w:widowControl/>
              <w:kinsoku w:val="0"/>
              <w:autoSpaceDE w:val="0"/>
              <w:autoSpaceDN w:val="0"/>
              <w:adjustRightInd w:val="0"/>
              <w:snapToGrid w:val="0"/>
              <w:spacing w:line="540" w:lineRule="exact"/>
              <w:ind w:firstLine="560"/>
              <w:jc w:val="center"/>
              <w:textAlignment w:val="baseline"/>
              <w:rPr>
                <w:rFonts w:ascii="仿宋_GB2312" w:hAnsi="仿宋_GB2312" w:eastAsia="仿宋_GB2312" w:cs="仿宋_GB2312"/>
                <w:sz w:val="32"/>
                <w:szCs w:val="32"/>
                <w:lang w:val="zh-CN"/>
              </w:rPr>
            </w:pPr>
            <w:r>
              <w:rPr>
                <w:rFonts w:hint="eastAsia" w:ascii="宋体" w:hAnsi="宋体" w:eastAsia="宋体" w:cs="宋体"/>
                <w:sz w:val="28"/>
                <w:szCs w:val="28"/>
                <w:lang w:eastAsia="zh-CN"/>
              </w:rPr>
              <w:t>产品质量</w:t>
            </w:r>
            <w:r>
              <w:rPr>
                <w:rFonts w:hint="eastAsia" w:ascii="宋体" w:hAnsi="宋体" w:eastAsia="宋体" w:cs="宋体"/>
                <w:sz w:val="28"/>
                <w:szCs w:val="28"/>
              </w:rPr>
              <w:t>要求</w:t>
            </w:r>
          </w:p>
        </w:tc>
        <w:tc>
          <w:tcPr>
            <w:tcW w:w="5807" w:type="dxa"/>
          </w:tcPr>
          <w:p w14:paraId="09D39706">
            <w:pPr>
              <w:widowControl/>
              <w:kinsoku w:val="0"/>
              <w:autoSpaceDE w:val="0"/>
              <w:autoSpaceDN w:val="0"/>
              <w:adjustRightInd w:val="0"/>
              <w:snapToGrid w:val="0"/>
              <w:spacing w:line="540" w:lineRule="exact"/>
              <w:ind w:firstLine="560"/>
              <w:jc w:val="center"/>
              <w:textAlignment w:val="baseline"/>
              <w:rPr>
                <w:rFonts w:cs="仿宋_GB2312" w:asciiTheme="minorEastAsia" w:hAnsiTheme="minorEastAsia" w:eastAsiaTheme="minorEastAsia"/>
                <w:color w:val="000000" w:themeColor="text1"/>
                <w:sz w:val="32"/>
                <w:szCs w:val="32"/>
                <w:lang w:eastAsia="zh-CN"/>
                <w14:textFill>
                  <w14:solidFill>
                    <w14:schemeClr w14:val="tx1"/>
                  </w14:solidFill>
                </w14:textFill>
              </w:rPr>
            </w:pPr>
            <w:r>
              <w:rPr>
                <w:rFonts w:cs="宋体" w:asciiTheme="minorEastAsia" w:hAnsiTheme="minorEastAsia" w:eastAsiaTheme="minorEastAsia"/>
                <w:color w:val="000000" w:themeColor="text1"/>
                <w:sz w:val="28"/>
                <w:szCs w:val="28"/>
                <w:lang w:eastAsia="zh-CN"/>
                <w14:textFill>
                  <w14:solidFill>
                    <w14:schemeClr w14:val="tx1"/>
                  </w14:solidFill>
                </w14:textFill>
              </w:rPr>
              <w:t>严格按国家现行规范《岩土工程勘察规范》和江油市地方标准执行</w:t>
            </w:r>
            <w:r>
              <w:rPr>
                <w:rFonts w:hint="eastAsia" w:cs="宋体" w:asciiTheme="minorEastAsia" w:hAnsiTheme="minorEastAsia" w:eastAsiaTheme="minorEastAsia"/>
                <w:color w:val="000000" w:themeColor="text1"/>
                <w:sz w:val="28"/>
                <w:szCs w:val="28"/>
                <w:lang w:eastAsia="zh-CN"/>
                <w14:textFill>
                  <w14:solidFill>
                    <w14:schemeClr w14:val="tx1"/>
                  </w14:solidFill>
                </w14:textFill>
              </w:rPr>
              <w:t>。</w:t>
            </w:r>
          </w:p>
        </w:tc>
      </w:tr>
      <w:tr w14:paraId="6B04A6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jc w:val="center"/>
        </w:trPr>
        <w:tc>
          <w:tcPr>
            <w:tcW w:w="1050" w:type="dxa"/>
          </w:tcPr>
          <w:p w14:paraId="0C128F91">
            <w:pPr>
              <w:widowControl/>
              <w:kinsoku w:val="0"/>
              <w:autoSpaceDE w:val="0"/>
              <w:autoSpaceDN w:val="0"/>
              <w:adjustRightInd w:val="0"/>
              <w:snapToGrid w:val="0"/>
              <w:spacing w:line="540" w:lineRule="exact"/>
              <w:ind w:firstLine="560"/>
              <w:jc w:val="center"/>
              <w:textAlignment w:val="baseline"/>
              <w:rPr>
                <w:rFonts w:ascii="仿宋_GB2312" w:hAnsi="仿宋_GB2312" w:eastAsia="仿宋_GB2312" w:cs="仿宋_GB2312"/>
                <w:sz w:val="32"/>
                <w:szCs w:val="32"/>
                <w:lang w:eastAsia="zh-CN"/>
              </w:rPr>
            </w:pPr>
            <w:r>
              <w:rPr>
                <w:rFonts w:hint="eastAsia" w:ascii="宋体" w:hAnsi="宋体" w:eastAsia="宋体" w:cs="宋体"/>
                <w:sz w:val="28"/>
                <w:szCs w:val="28"/>
                <w:lang w:eastAsia="zh-CN"/>
              </w:rPr>
              <w:t>6</w:t>
            </w:r>
          </w:p>
        </w:tc>
        <w:tc>
          <w:tcPr>
            <w:tcW w:w="2751" w:type="dxa"/>
          </w:tcPr>
          <w:p w14:paraId="3F1A6499">
            <w:pPr>
              <w:widowControl/>
              <w:kinsoku w:val="0"/>
              <w:autoSpaceDE w:val="0"/>
              <w:autoSpaceDN w:val="0"/>
              <w:adjustRightInd w:val="0"/>
              <w:snapToGrid w:val="0"/>
              <w:spacing w:line="540" w:lineRule="exact"/>
              <w:ind w:firstLine="560"/>
              <w:jc w:val="center"/>
              <w:textAlignment w:val="baseline"/>
              <w:rPr>
                <w:rFonts w:ascii="仿宋_GB2312" w:hAnsi="仿宋_GB2312" w:eastAsia="仿宋_GB2312" w:cs="仿宋_GB2312"/>
                <w:sz w:val="32"/>
                <w:szCs w:val="32"/>
                <w:lang w:eastAsia="zh-CN"/>
              </w:rPr>
            </w:pPr>
            <w:r>
              <w:rPr>
                <w:rFonts w:hint="eastAsia" w:ascii="宋体" w:hAnsi="宋体" w:eastAsia="宋体" w:cs="宋体"/>
                <w:sz w:val="28"/>
                <w:szCs w:val="28"/>
                <w:lang w:eastAsia="zh-CN"/>
              </w:rPr>
              <w:t>完成时间</w:t>
            </w:r>
          </w:p>
        </w:tc>
        <w:tc>
          <w:tcPr>
            <w:tcW w:w="5807" w:type="dxa"/>
          </w:tcPr>
          <w:p w14:paraId="729220E3">
            <w:pPr>
              <w:widowControl/>
              <w:kinsoku w:val="0"/>
              <w:autoSpaceDE w:val="0"/>
              <w:autoSpaceDN w:val="0"/>
              <w:adjustRightInd w:val="0"/>
              <w:snapToGrid w:val="0"/>
              <w:spacing w:line="540" w:lineRule="exact"/>
              <w:ind w:firstLine="560"/>
              <w:jc w:val="center"/>
              <w:textAlignment w:val="baseline"/>
              <w:rPr>
                <w:rFonts w:cs="仿宋_GB2312" w:asciiTheme="minorEastAsia" w:hAnsiTheme="minorEastAsia" w:eastAsiaTheme="minorEastAsia"/>
                <w:color w:val="000000" w:themeColor="text1"/>
                <w:sz w:val="32"/>
                <w:szCs w:val="32"/>
                <w:lang w:eastAsia="zh-CN"/>
                <w14:textFill>
                  <w14:solidFill>
                    <w14:schemeClr w14:val="tx1"/>
                  </w14:solidFill>
                </w14:textFill>
              </w:rPr>
            </w:pPr>
            <w:r>
              <w:rPr>
                <w:rFonts w:hint="eastAsia" w:cs="宋体" w:asciiTheme="minorEastAsia" w:hAnsiTheme="minorEastAsia" w:eastAsiaTheme="minorEastAsia"/>
                <w:color w:val="000000" w:themeColor="text1"/>
                <w:sz w:val="28"/>
                <w:szCs w:val="28"/>
                <w:lang w:eastAsia="zh-CN"/>
                <w14:textFill>
                  <w14:solidFill>
                    <w14:schemeClr w14:val="tx1"/>
                  </w14:solidFill>
                </w14:textFill>
              </w:rPr>
              <w:t>合同签订后30日内完成</w:t>
            </w:r>
          </w:p>
        </w:tc>
      </w:tr>
    </w:tbl>
    <w:p w14:paraId="17EC86CC">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p>
    <w:sectPr>
      <w:footerReference r:id="rId5" w:type="default"/>
      <w:pgSz w:w="11906" w:h="16838"/>
      <w:pgMar w:top="1440" w:right="1746"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E2C286E-B151-4762-9D0D-48B91C8439F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auto"/>
    <w:pitch w:val="default"/>
    <w:sig w:usb0="00000001" w:usb1="080E0000" w:usb2="00000000" w:usb3="00000000" w:csb0="00040000" w:csb1="00000000"/>
    <w:embedRegular r:id="rId2" w:fontKey="{CC4F8E9D-A94B-491B-BE83-D2F693DA86E8}"/>
  </w:font>
  <w:font w:name="仿宋">
    <w:panose1 w:val="02010609060101010101"/>
    <w:charset w:val="86"/>
    <w:family w:val="auto"/>
    <w:pitch w:val="default"/>
    <w:sig w:usb0="800002BF" w:usb1="38CF7CFA" w:usb2="00000016" w:usb3="00000000" w:csb0="00040001" w:csb1="00000000"/>
    <w:embedRegular r:id="rId3" w:fontKey="{111D1AE1-C96E-4232-92B9-C5C3254AF00F}"/>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1ACC66">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3F1D2E2">
                          <w:pPr>
                            <w:pStyle w:val="5"/>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13F1D2E2">
                    <w:pPr>
                      <w:pStyle w:val="5"/>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E34AB"/>
    <w:multiLevelType w:val="singleLevel"/>
    <w:tmpl w:val="A44E34AB"/>
    <w:lvl w:ilvl="0" w:tentative="0">
      <w:start w:val="2"/>
      <w:numFmt w:val="chineseCounting"/>
      <w:suff w:val="nothing"/>
      <w:lvlText w:val="%1、"/>
      <w:lvlJc w:val="left"/>
      <w:rPr>
        <w:rFonts w:hint="eastAsia"/>
      </w:rPr>
    </w:lvl>
  </w:abstractNum>
  <w:abstractNum w:abstractNumId="1">
    <w:nsid w:val="5BB9CA2C"/>
    <w:multiLevelType w:val="singleLevel"/>
    <w:tmpl w:val="5BB9CA2C"/>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3"/>
  <w:embedTrueTypeFonts/>
  <w:saveSubset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4M2Y5YjAyZjQ3YzYyMjcwNzQ3ZWNlNTYzNWVkNGEifQ=="/>
  </w:docVars>
  <w:rsids>
    <w:rsidRoot w:val="052F3AB7"/>
    <w:rsid w:val="023C7B97"/>
    <w:rsid w:val="04166A81"/>
    <w:rsid w:val="052F3AB7"/>
    <w:rsid w:val="06AA22E5"/>
    <w:rsid w:val="083A581D"/>
    <w:rsid w:val="09D771D4"/>
    <w:rsid w:val="0AEA2F37"/>
    <w:rsid w:val="0B603E17"/>
    <w:rsid w:val="0BA30B27"/>
    <w:rsid w:val="0CE949D7"/>
    <w:rsid w:val="11672464"/>
    <w:rsid w:val="11801AD1"/>
    <w:rsid w:val="11E9171B"/>
    <w:rsid w:val="124959A2"/>
    <w:rsid w:val="12853ED2"/>
    <w:rsid w:val="134768DF"/>
    <w:rsid w:val="14224BF0"/>
    <w:rsid w:val="152042CA"/>
    <w:rsid w:val="161B669A"/>
    <w:rsid w:val="176F311A"/>
    <w:rsid w:val="192B21B3"/>
    <w:rsid w:val="19D94CAA"/>
    <w:rsid w:val="19E5114C"/>
    <w:rsid w:val="1BDA6F42"/>
    <w:rsid w:val="20C31381"/>
    <w:rsid w:val="241724D8"/>
    <w:rsid w:val="263113E7"/>
    <w:rsid w:val="26FB52ED"/>
    <w:rsid w:val="278C741F"/>
    <w:rsid w:val="2B206C1F"/>
    <w:rsid w:val="2B5B780D"/>
    <w:rsid w:val="2BE21A2F"/>
    <w:rsid w:val="2CF03F85"/>
    <w:rsid w:val="2FBB7B31"/>
    <w:rsid w:val="300C3A87"/>
    <w:rsid w:val="31FB19F3"/>
    <w:rsid w:val="328B74C5"/>
    <w:rsid w:val="34086058"/>
    <w:rsid w:val="360C0D29"/>
    <w:rsid w:val="361719C1"/>
    <w:rsid w:val="36545584"/>
    <w:rsid w:val="37512F06"/>
    <w:rsid w:val="3AF70BD4"/>
    <w:rsid w:val="3B52750D"/>
    <w:rsid w:val="3CE55188"/>
    <w:rsid w:val="3D320538"/>
    <w:rsid w:val="3E1A1FCA"/>
    <w:rsid w:val="3EE42ED1"/>
    <w:rsid w:val="40B62ABF"/>
    <w:rsid w:val="418242F2"/>
    <w:rsid w:val="43D80434"/>
    <w:rsid w:val="44EE3048"/>
    <w:rsid w:val="45122C80"/>
    <w:rsid w:val="46084642"/>
    <w:rsid w:val="47044A64"/>
    <w:rsid w:val="498126DD"/>
    <w:rsid w:val="499910CF"/>
    <w:rsid w:val="49E30A25"/>
    <w:rsid w:val="4B834E3B"/>
    <w:rsid w:val="4BFA3450"/>
    <w:rsid w:val="4E847B7E"/>
    <w:rsid w:val="4ED46AB5"/>
    <w:rsid w:val="4F59011B"/>
    <w:rsid w:val="50CA2BBB"/>
    <w:rsid w:val="520A31DD"/>
    <w:rsid w:val="5292623E"/>
    <w:rsid w:val="53714D2C"/>
    <w:rsid w:val="557038BD"/>
    <w:rsid w:val="55F67FAE"/>
    <w:rsid w:val="57752E80"/>
    <w:rsid w:val="57C16B81"/>
    <w:rsid w:val="59E051FD"/>
    <w:rsid w:val="5AB31320"/>
    <w:rsid w:val="5AB67D0C"/>
    <w:rsid w:val="5B597072"/>
    <w:rsid w:val="5CD851F3"/>
    <w:rsid w:val="5DEA21A7"/>
    <w:rsid w:val="5FA21143"/>
    <w:rsid w:val="5FC15772"/>
    <w:rsid w:val="5FC15FA1"/>
    <w:rsid w:val="606D70BF"/>
    <w:rsid w:val="6104037C"/>
    <w:rsid w:val="61853D3F"/>
    <w:rsid w:val="637F7835"/>
    <w:rsid w:val="64047E51"/>
    <w:rsid w:val="65391A6E"/>
    <w:rsid w:val="65D57BE0"/>
    <w:rsid w:val="69B755F9"/>
    <w:rsid w:val="6D4E5FC4"/>
    <w:rsid w:val="6D860727"/>
    <w:rsid w:val="70DA03AA"/>
    <w:rsid w:val="71494FDF"/>
    <w:rsid w:val="71762C65"/>
    <w:rsid w:val="72862412"/>
    <w:rsid w:val="732E26DE"/>
    <w:rsid w:val="769B58D2"/>
    <w:rsid w:val="77FB787A"/>
    <w:rsid w:val="78185787"/>
    <w:rsid w:val="793D367B"/>
    <w:rsid w:val="7B965B1F"/>
    <w:rsid w:val="7C6E599F"/>
    <w:rsid w:val="7C7C3C7B"/>
    <w:rsid w:val="7CA47EAD"/>
    <w:rsid w:val="7CCD05F3"/>
    <w:rsid w:val="7CEB202E"/>
    <w:rsid w:val="7DC878B1"/>
    <w:rsid w:val="7E6255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index 8"/>
    <w:basedOn w:val="1"/>
    <w:next w:val="1"/>
    <w:qFormat/>
    <w:uiPriority w:val="0"/>
    <w:pPr>
      <w:ind w:left="2940"/>
    </w:pPr>
  </w:style>
  <w:style w:type="paragraph" w:styleId="3">
    <w:name w:val="Body Text"/>
    <w:basedOn w:val="1"/>
    <w:next w:val="2"/>
    <w:autoRedefine/>
    <w:qFormat/>
    <w:uiPriority w:val="0"/>
    <w:rPr>
      <w:rFonts w:ascii="华文中宋" w:eastAsia="华文中宋"/>
      <w:bCs/>
      <w:sz w:val="28"/>
    </w:rPr>
  </w:style>
  <w:style w:type="paragraph" w:styleId="4">
    <w:name w:val="Body Text Indent"/>
    <w:basedOn w:val="1"/>
    <w:qFormat/>
    <w:uiPriority w:val="0"/>
    <w:pPr>
      <w:adjustRightInd w:val="0"/>
      <w:snapToGrid w:val="0"/>
      <w:spacing w:line="360" w:lineRule="auto"/>
      <w:ind w:firstLine="560" w:firstLineChars="200"/>
    </w:pPr>
    <w:rPr>
      <w:sz w:val="28"/>
    </w:rPr>
  </w:style>
  <w:style w:type="paragraph" w:styleId="5">
    <w:name w:val="footer"/>
    <w:basedOn w:val="1"/>
    <w:autoRedefine/>
    <w:qFormat/>
    <w:uiPriority w:val="99"/>
    <w:pPr>
      <w:tabs>
        <w:tab w:val="center" w:pos="4153"/>
        <w:tab w:val="right" w:pos="8306"/>
      </w:tabs>
      <w:snapToGrid w:val="0"/>
      <w:jc w:val="left"/>
    </w:pPr>
    <w:rPr>
      <w:sz w:val="18"/>
      <w:szCs w:val="20"/>
    </w:rPr>
  </w:style>
  <w:style w:type="paragraph" w:styleId="6">
    <w:name w:val="Body Text First Indent 2"/>
    <w:basedOn w:val="1"/>
    <w:next w:val="1"/>
    <w:autoRedefine/>
    <w:qFormat/>
    <w:uiPriority w:val="0"/>
    <w:pPr>
      <w:adjustRightInd w:val="0"/>
      <w:snapToGrid w:val="0"/>
      <w:spacing w:after="120" w:line="300" w:lineRule="auto"/>
      <w:ind w:left="420" w:leftChars="200" w:firstLine="420" w:firstLineChars="200"/>
    </w:pPr>
    <w:rPr>
      <w:rFonts w:ascii="仿宋_GB2312" w:eastAsia="仿宋_GB2312"/>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autoRedefine/>
    <w:qFormat/>
    <w:uiPriority w:val="0"/>
  </w:style>
  <w:style w:type="character" w:customStyle="1" w:styleId="11">
    <w:name w:val="font01"/>
    <w:basedOn w:val="9"/>
    <w:autoRedefine/>
    <w:qFormat/>
    <w:uiPriority w:val="0"/>
    <w:rPr>
      <w:rFonts w:hint="eastAsia" w:ascii="宋体" w:hAnsi="宋体" w:eastAsia="宋体" w:cs="宋体"/>
      <w:color w:val="000000"/>
      <w:sz w:val="22"/>
      <w:szCs w:val="22"/>
      <w:u w:val="none"/>
    </w:rPr>
  </w:style>
  <w:style w:type="character" w:customStyle="1" w:styleId="12">
    <w:name w:val="font61"/>
    <w:basedOn w:val="9"/>
    <w:autoRedefine/>
    <w:qFormat/>
    <w:uiPriority w:val="0"/>
    <w:rPr>
      <w:rFonts w:hint="eastAsia" w:ascii="宋体" w:hAnsi="宋体" w:eastAsia="宋体" w:cs="宋体"/>
      <w:color w:val="FF0000"/>
      <w:sz w:val="22"/>
      <w:szCs w:val="22"/>
      <w:u w:val="none"/>
    </w:rPr>
  </w:style>
  <w:style w:type="character" w:customStyle="1" w:styleId="13">
    <w:name w:val="font51"/>
    <w:basedOn w:val="9"/>
    <w:autoRedefine/>
    <w:qFormat/>
    <w:uiPriority w:val="0"/>
    <w:rPr>
      <w:rFonts w:hint="eastAsia" w:ascii="宋体" w:hAnsi="宋体" w:eastAsia="宋体" w:cs="宋体"/>
      <w:color w:val="000000"/>
      <w:sz w:val="20"/>
      <w:szCs w:val="20"/>
      <w:u w:val="none"/>
    </w:rPr>
  </w:style>
  <w:style w:type="character" w:customStyle="1" w:styleId="14">
    <w:name w:val="font71"/>
    <w:basedOn w:val="9"/>
    <w:autoRedefine/>
    <w:qFormat/>
    <w:uiPriority w:val="0"/>
    <w:rPr>
      <w:rFonts w:hint="eastAsia" w:ascii="宋体" w:hAnsi="宋体" w:eastAsia="宋体" w:cs="宋体"/>
      <w:color w:val="FF0000"/>
      <w:sz w:val="20"/>
      <w:szCs w:val="20"/>
      <w:u w:val="none"/>
    </w:rPr>
  </w:style>
  <w:style w:type="table" w:customStyle="1" w:styleId="15">
    <w:name w:val="Table Normal"/>
    <w:autoRedefine/>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645</Words>
  <Characters>660</Characters>
  <Lines>0</Lines>
  <Paragraphs>0</Paragraphs>
  <TotalTime>16</TotalTime>
  <ScaleCrop>false</ScaleCrop>
  <LinksUpToDate>false</LinksUpToDate>
  <CharactersWithSpaces>660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一路向前</cp:lastModifiedBy>
  <cp:lastPrinted>2025-06-17T03:24:26Z</cp:lastPrinted>
  <dcterms:modified xsi:type="dcterms:W3CDTF">2025-06-17T03:32:58Z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76C9A4773B63434B9FC51B57D37D2DB1_11</vt:lpwstr>
  </property>
  <property fmtid="{D5CDD505-2E9C-101B-9397-08002B2CF9AE}" pid="4" name="KSOTemplateDocerSaveRecord">
    <vt:lpwstr>eyJoZGlkIjoiMWQ4M2Y5YjAyZjQ3YzYyMjcwNzQ3ZWNlNTYzNWVkNGEiLCJ1c2VySWQiOiI1MjQxODk4MTQifQ==</vt:lpwstr>
  </property>
</Properties>
</file>