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9FCC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</w:t>
      </w:r>
    </w:p>
    <w:p w14:paraId="7566416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44"/>
          <w:szCs w:val="44"/>
          <w:u w:val="none" w:color="auto"/>
          <w:lang w:val="en-US" w:eastAsia="zh-CN"/>
        </w:rPr>
        <w:t>招标须知</w:t>
      </w:r>
    </w:p>
    <w:p w14:paraId="5B3BAA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项目概述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6EBE3831">
      <w:pPr>
        <w:widowControl/>
        <w:ind w:firstLine="640" w:firstLineChars="200"/>
        <w:jc w:val="left"/>
        <w:textAlignment w:val="center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为四川农商银行·2025江油马拉松暨“跑遍四川”绵阳站赛事提供赛事保障物资的供应服务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。</w:t>
      </w:r>
    </w:p>
    <w:p w14:paraId="1F8B20E8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采购项目标的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内容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0CDE9DC5">
      <w:pPr>
        <w:pStyle w:val="2"/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赛事保障物资供应项目（包括能量胶、赛后拉伸服务人员、赛后拉伸培训、肌贴、欢乐跑终点主持人等）详见采购清单明细表。</w:t>
      </w:r>
    </w:p>
    <w:p w14:paraId="7CFC19A9">
      <w:pPr>
        <w:pStyle w:val="2"/>
        <w:numPr>
          <w:ilvl w:val="0"/>
          <w:numId w:val="2"/>
        </w:numPr>
        <w:ind w:firstLine="640" w:firstLineChars="200"/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此次交通管制设施设备供应服务最高限价为人名币245000元。（明细详见下表）</w:t>
      </w:r>
    </w:p>
    <w:tbl>
      <w:tblPr>
        <w:tblW w:w="908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434"/>
        <w:gridCol w:w="2070"/>
        <w:gridCol w:w="903"/>
        <w:gridCol w:w="940"/>
        <w:gridCol w:w="1590"/>
        <w:gridCol w:w="1296"/>
      </w:tblGrid>
      <w:tr w14:paraId="759DF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31C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 w:colFirst="0" w:colLast="6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09D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名称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1A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概括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3A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数量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EE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单位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EB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单价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81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金额</w:t>
            </w:r>
          </w:p>
        </w:tc>
      </w:tr>
      <w:tr w14:paraId="6F951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979B6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150E3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欢乐跑终点主持人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872F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2325C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3C6EE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项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9AF50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￥2,000.00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D7AA4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￥2,000</w:t>
            </w:r>
          </w:p>
        </w:tc>
      </w:tr>
      <w:tr w14:paraId="2C9FA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27BF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E08AA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马拉松奖牌框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88C03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C1258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300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04EDC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个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3F944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￥39.00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073EB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￥11,700</w:t>
            </w:r>
          </w:p>
        </w:tc>
      </w:tr>
      <w:tr w14:paraId="7FCCC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83A09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170D2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能量胶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C8BB4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含赛前及赛道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8C40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12635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0CC27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条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60C71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￥8.00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8542B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￥101,080</w:t>
            </w:r>
          </w:p>
        </w:tc>
      </w:tr>
      <w:tr w14:paraId="3A79F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BEA2C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A62C7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盐丸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F410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含赛前及赛道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F3FD3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12635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09E6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颗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3499D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￥2.50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58251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￥31,587.5</w:t>
            </w:r>
          </w:p>
        </w:tc>
      </w:tr>
      <w:tr w14:paraId="37013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38A2F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B9499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赛后拉伸服务人员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8B06B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劳务+差旅+食宿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A9F0E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A7AC5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人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9FB19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￥4,500.00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A2E79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￥36,000</w:t>
            </w:r>
          </w:p>
        </w:tc>
      </w:tr>
      <w:tr w14:paraId="44AFD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63BEA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6A88A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赛后拉伸培训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3A2D1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培训讲师劳务费+差旅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CB551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8950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次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26F06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￥5,500.00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376AD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￥5,500</w:t>
            </w:r>
          </w:p>
        </w:tc>
      </w:tr>
      <w:tr w14:paraId="578CA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4A478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7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B10E2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肌贴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1E8D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含肌贴专用剪刀、打肌贴工作人员劳务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ACDF6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4000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3A03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条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C48BA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￥8.00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2E98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￥32,000</w:t>
            </w:r>
          </w:p>
        </w:tc>
      </w:tr>
      <w:tr w14:paraId="1D78D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AED0C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4E007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海绵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E7CC0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赛道降温使用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9B46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13200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29834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个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125E2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￥1.00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D27A8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￥13,200</w:t>
            </w:r>
          </w:p>
        </w:tc>
      </w:tr>
      <w:tr w14:paraId="64332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74EF1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9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6CDD0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旋风彩虹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7686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起跑，含技术人员+运费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9D8E0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9B47F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台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F518D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￥3,000.00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CB71C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￥12,000</w:t>
            </w:r>
          </w:p>
        </w:tc>
      </w:tr>
      <w:tr w14:paraId="0F18B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74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合计</w:t>
            </w:r>
          </w:p>
        </w:tc>
        <w:tc>
          <w:tcPr>
            <w:tcW w:w="47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7C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￥245067.5</w:t>
            </w:r>
          </w:p>
        </w:tc>
      </w:tr>
      <w:bookmarkEnd w:id="0"/>
    </w:tbl>
    <w:p w14:paraId="64B6CF70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备注</w:t>
      </w:r>
    </w:p>
    <w:p w14:paraId="4A2BCA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1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、报价需包含人工费、差旅费、运输费、装卸费、清洁费、税金等费用；</w:t>
      </w:r>
    </w:p>
    <w:p w14:paraId="79DC8847">
      <w:pPr>
        <w:pStyle w:val="5"/>
        <w:ind w:left="0" w:leftChars="0" w:firstLine="640" w:firstLineChars="200"/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2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、服务内容必须与上述明细表完全吻合。</w:t>
      </w:r>
    </w:p>
    <w:p w14:paraId="6E257236">
      <w:pPr>
        <w:pStyle w:val="5"/>
        <w:numPr>
          <w:ilvl w:val="0"/>
          <w:numId w:val="0"/>
        </w:numPr>
        <w:ind w:right="0" w:rightChars="0" w:firstLine="640" w:firstLineChars="200"/>
        <w:rPr>
          <w:rFonts w:hint="default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四、商务要求</w:t>
      </w:r>
    </w:p>
    <w:tbl>
      <w:tblPr>
        <w:tblStyle w:val="14"/>
        <w:tblW w:w="960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751"/>
        <w:gridCol w:w="5807"/>
      </w:tblGrid>
      <w:tr w14:paraId="538DCF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050" w:type="dxa"/>
            <w:noWrap w:val="0"/>
            <w:vAlign w:val="center"/>
          </w:tcPr>
          <w:p w14:paraId="16593E32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序号</w:t>
            </w:r>
          </w:p>
        </w:tc>
        <w:tc>
          <w:tcPr>
            <w:tcW w:w="2751" w:type="dxa"/>
            <w:noWrap w:val="0"/>
            <w:vAlign w:val="center"/>
          </w:tcPr>
          <w:p w14:paraId="3EB894C3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内容</w:t>
            </w:r>
          </w:p>
        </w:tc>
        <w:tc>
          <w:tcPr>
            <w:tcW w:w="5807" w:type="dxa"/>
            <w:noWrap w:val="0"/>
            <w:vAlign w:val="center"/>
          </w:tcPr>
          <w:p w14:paraId="6D7E90C8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招标/采购要求</w:t>
            </w:r>
          </w:p>
        </w:tc>
      </w:tr>
      <w:tr w14:paraId="5C6EDD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221CDF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1</w:t>
            </w:r>
          </w:p>
        </w:tc>
        <w:tc>
          <w:tcPr>
            <w:tcW w:w="2751" w:type="dxa"/>
            <w:noWrap w:val="0"/>
            <w:vAlign w:val="top"/>
          </w:tcPr>
          <w:p w14:paraId="5C0788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服务对象</w:t>
            </w:r>
          </w:p>
        </w:tc>
        <w:tc>
          <w:tcPr>
            <w:tcW w:w="5807" w:type="dxa"/>
            <w:noWrap w:val="0"/>
            <w:vAlign w:val="top"/>
          </w:tcPr>
          <w:p w14:paraId="01AE1A93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江油冠旋体育文化发展有限公司</w:t>
            </w:r>
          </w:p>
        </w:tc>
      </w:tr>
      <w:tr w14:paraId="167BA7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7E1D42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2</w:t>
            </w:r>
          </w:p>
        </w:tc>
        <w:tc>
          <w:tcPr>
            <w:tcW w:w="2751" w:type="dxa"/>
            <w:noWrap w:val="0"/>
            <w:vAlign w:val="top"/>
          </w:tcPr>
          <w:p w14:paraId="61EB7E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hAnsi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服务地点</w:t>
            </w:r>
          </w:p>
        </w:tc>
        <w:tc>
          <w:tcPr>
            <w:tcW w:w="5807" w:type="dxa"/>
            <w:noWrap w:val="0"/>
            <w:vAlign w:val="top"/>
          </w:tcPr>
          <w:p w14:paraId="72683219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江油市体育中心及马拉松赛道沿线</w:t>
            </w:r>
          </w:p>
        </w:tc>
      </w:tr>
      <w:tr w14:paraId="2AB295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050" w:type="dxa"/>
            <w:noWrap w:val="0"/>
            <w:vAlign w:val="top"/>
          </w:tcPr>
          <w:p w14:paraId="66C805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3</w:t>
            </w:r>
          </w:p>
        </w:tc>
        <w:tc>
          <w:tcPr>
            <w:tcW w:w="2751" w:type="dxa"/>
            <w:noWrap w:val="0"/>
            <w:vAlign w:val="top"/>
          </w:tcPr>
          <w:p w14:paraId="21A669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履约､验收要求与标准</w:t>
            </w:r>
          </w:p>
        </w:tc>
        <w:tc>
          <w:tcPr>
            <w:tcW w:w="5807" w:type="dxa"/>
            <w:noWrap w:val="0"/>
            <w:vAlign w:val="top"/>
          </w:tcPr>
          <w:p w14:paraId="6B4A6C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按采购文件要求验收</w:t>
            </w:r>
          </w:p>
        </w:tc>
      </w:tr>
      <w:tr w14:paraId="247F61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050" w:type="dxa"/>
            <w:noWrap w:val="0"/>
            <w:vAlign w:val="top"/>
          </w:tcPr>
          <w:p w14:paraId="73702D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4</w:t>
            </w:r>
          </w:p>
        </w:tc>
        <w:tc>
          <w:tcPr>
            <w:tcW w:w="2751" w:type="dxa"/>
            <w:noWrap w:val="0"/>
            <w:vAlign w:val="top"/>
          </w:tcPr>
          <w:p w14:paraId="44E1DD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款项支付方式</w:t>
            </w:r>
          </w:p>
        </w:tc>
        <w:tc>
          <w:tcPr>
            <w:tcW w:w="5807" w:type="dxa"/>
            <w:noWrap w:val="0"/>
            <w:vAlign w:val="top"/>
          </w:tcPr>
          <w:p w14:paraId="0685D5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详见附件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7</w:t>
            </w: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：合同主要条款</w:t>
            </w:r>
          </w:p>
        </w:tc>
      </w:tr>
      <w:tr w14:paraId="062B13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050" w:type="dxa"/>
            <w:noWrap w:val="0"/>
            <w:vAlign w:val="top"/>
          </w:tcPr>
          <w:p w14:paraId="54331D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5</w:t>
            </w:r>
          </w:p>
        </w:tc>
        <w:tc>
          <w:tcPr>
            <w:tcW w:w="2751" w:type="dxa"/>
            <w:noWrap w:val="0"/>
            <w:vAlign w:val="top"/>
          </w:tcPr>
          <w:p w14:paraId="6B836F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产品质量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要求</w:t>
            </w:r>
          </w:p>
        </w:tc>
        <w:tc>
          <w:tcPr>
            <w:tcW w:w="5807" w:type="dxa"/>
            <w:noWrap w:val="0"/>
            <w:vAlign w:val="top"/>
          </w:tcPr>
          <w:p w14:paraId="2C6593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zh-CN" w:eastAsia="zh-CN"/>
              </w:rPr>
              <w:t>所涉及材料必须使用符合国家标准规范材料</w:t>
            </w:r>
          </w:p>
        </w:tc>
      </w:tr>
      <w:tr w14:paraId="523E35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1050" w:type="dxa"/>
            <w:noWrap w:val="0"/>
            <w:vAlign w:val="top"/>
          </w:tcPr>
          <w:p w14:paraId="1CE53B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6</w:t>
            </w:r>
          </w:p>
        </w:tc>
        <w:tc>
          <w:tcPr>
            <w:tcW w:w="2751" w:type="dxa"/>
            <w:noWrap w:val="0"/>
            <w:vAlign w:val="top"/>
          </w:tcPr>
          <w:p w14:paraId="242DC7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完成时间</w:t>
            </w:r>
          </w:p>
        </w:tc>
        <w:tc>
          <w:tcPr>
            <w:tcW w:w="5807" w:type="dxa"/>
            <w:noWrap w:val="0"/>
            <w:vAlign w:val="top"/>
          </w:tcPr>
          <w:p w14:paraId="5070C4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合同签订后10日内完成及验收</w:t>
            </w:r>
          </w:p>
        </w:tc>
      </w:tr>
    </w:tbl>
    <w:p w14:paraId="5112BF9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 xml:space="preserve">   </w:t>
      </w:r>
    </w:p>
    <w:p w14:paraId="34A5FAE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0DBA242F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sectPr>
      <w:footerReference r:id="rId5" w:type="default"/>
      <w:pgSz w:w="11906" w:h="16838"/>
      <w:pgMar w:top="1440" w:right="1746" w:bottom="1440" w:left="1803" w:header="851" w:footer="992" w:gutter="0"/>
      <w:cols w:space="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02D8B1-E4CE-459C-B7EF-3F1F64578EB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0E7E51A-D4E6-4644-836B-7BF33A9E8BB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2CE8505-C060-43B8-8626-E1425F99E5E2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1ACC66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F1D2E2"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F1D2E2"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4E34AB"/>
    <w:multiLevelType w:val="singleLevel"/>
    <w:tmpl w:val="A44E34A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B735230"/>
    <w:multiLevelType w:val="singleLevel"/>
    <w:tmpl w:val="EB73523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M2Y5YjAyZjQ3YzYyMjcwNzQ3ZWNlNTYzNWVkNGEifQ=="/>
  </w:docVars>
  <w:rsids>
    <w:rsidRoot w:val="052F3AB7"/>
    <w:rsid w:val="023C7B97"/>
    <w:rsid w:val="043D6D15"/>
    <w:rsid w:val="052F3AB7"/>
    <w:rsid w:val="06AA22E5"/>
    <w:rsid w:val="09D771D4"/>
    <w:rsid w:val="11672464"/>
    <w:rsid w:val="12853ED2"/>
    <w:rsid w:val="134768DF"/>
    <w:rsid w:val="14224BF0"/>
    <w:rsid w:val="161B669A"/>
    <w:rsid w:val="176F311A"/>
    <w:rsid w:val="192B21B3"/>
    <w:rsid w:val="19D94CAA"/>
    <w:rsid w:val="19E5114C"/>
    <w:rsid w:val="20C31381"/>
    <w:rsid w:val="241724D8"/>
    <w:rsid w:val="263113E7"/>
    <w:rsid w:val="2BE21A2F"/>
    <w:rsid w:val="300C3A87"/>
    <w:rsid w:val="31FB19F3"/>
    <w:rsid w:val="34086058"/>
    <w:rsid w:val="349E643B"/>
    <w:rsid w:val="360C0D29"/>
    <w:rsid w:val="361719C1"/>
    <w:rsid w:val="36545584"/>
    <w:rsid w:val="37512F06"/>
    <w:rsid w:val="3B52750D"/>
    <w:rsid w:val="3CFA692D"/>
    <w:rsid w:val="3D320538"/>
    <w:rsid w:val="3E1A1FCA"/>
    <w:rsid w:val="3EE42ED1"/>
    <w:rsid w:val="40B62ABF"/>
    <w:rsid w:val="421C4CB2"/>
    <w:rsid w:val="43D80434"/>
    <w:rsid w:val="47044A64"/>
    <w:rsid w:val="490B2684"/>
    <w:rsid w:val="499910CF"/>
    <w:rsid w:val="49B72F9E"/>
    <w:rsid w:val="4BFA3450"/>
    <w:rsid w:val="4E847B7E"/>
    <w:rsid w:val="4F59011B"/>
    <w:rsid w:val="50CA2BBB"/>
    <w:rsid w:val="520A31DD"/>
    <w:rsid w:val="557038BD"/>
    <w:rsid w:val="55F67FAE"/>
    <w:rsid w:val="57752E80"/>
    <w:rsid w:val="57C16B81"/>
    <w:rsid w:val="59E051FD"/>
    <w:rsid w:val="5B597072"/>
    <w:rsid w:val="5CD851F3"/>
    <w:rsid w:val="5DEA21A7"/>
    <w:rsid w:val="5FC15772"/>
    <w:rsid w:val="5FC15FA1"/>
    <w:rsid w:val="606D70BF"/>
    <w:rsid w:val="6104037C"/>
    <w:rsid w:val="61853D3F"/>
    <w:rsid w:val="637F7835"/>
    <w:rsid w:val="64047E51"/>
    <w:rsid w:val="65391A6E"/>
    <w:rsid w:val="65D57BE0"/>
    <w:rsid w:val="69B755F9"/>
    <w:rsid w:val="6D4E5FC4"/>
    <w:rsid w:val="6D860727"/>
    <w:rsid w:val="71494FDF"/>
    <w:rsid w:val="723F1D54"/>
    <w:rsid w:val="732E26DE"/>
    <w:rsid w:val="75DE488F"/>
    <w:rsid w:val="769B58D2"/>
    <w:rsid w:val="77FB787A"/>
    <w:rsid w:val="78185787"/>
    <w:rsid w:val="7B965B1F"/>
    <w:rsid w:val="7C6E599F"/>
    <w:rsid w:val="7CCD05F3"/>
    <w:rsid w:val="7CEB202E"/>
    <w:rsid w:val="7DC878B1"/>
    <w:rsid w:val="7E62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rPr>
      <w:rFonts w:ascii="华文中宋" w:eastAsia="华文中宋"/>
      <w:bCs/>
      <w:sz w:val="28"/>
    </w:rPr>
  </w:style>
  <w:style w:type="paragraph" w:styleId="3">
    <w:name w:val="Body Text Indent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sz w:val="28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Body Text First Indent 2"/>
    <w:basedOn w:val="1"/>
    <w:next w:val="1"/>
    <w:autoRedefine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autoRedefine/>
    <w:qFormat/>
    <w:uiPriority w:val="0"/>
  </w:style>
  <w:style w:type="character" w:customStyle="1" w:styleId="10">
    <w:name w:val="font0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61"/>
    <w:basedOn w:val="8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2">
    <w:name w:val="font5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71"/>
    <w:basedOn w:val="8"/>
    <w:autoRedefine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table" w:customStyle="1" w:styleId="14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638</Words>
  <Characters>832</Characters>
  <Lines>0</Lines>
  <Paragraphs>0</Paragraphs>
  <TotalTime>3</TotalTime>
  <ScaleCrop>false</ScaleCrop>
  <LinksUpToDate>false</LinksUpToDate>
  <CharactersWithSpaces>835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2023-04-28T02:02:00Z</dcterms:created>
  <dc:creator>一路向前</dc:creator>
  <cp:lastModifiedBy>一路向前</cp:lastModifiedBy>
  <cp:lastPrinted>2025-03-06T02:08:00Z</cp:lastPrinted>
  <dcterms:modified xsi:type="dcterms:W3CDTF">2025-06-26T08:08:36Z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76C9A4773B63434B9FC51B57D37D2DB1_11</vt:lpwstr>
  </property>
  <property fmtid="{D5CDD505-2E9C-101B-9397-08002B2CF9AE}" pid="4" name="KSOTemplateDocerSaveRecord">
    <vt:lpwstr>eyJoZGlkIjoiMWQ4M2Y5YjAyZjQ3YzYyMjcwNzQ3ZWNlNTYzNWVkNGEiLCJ1c2VySWQiOiI1MjQxODk4MTQifQ==</vt:lpwstr>
  </property>
</Properties>
</file>