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default"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为江油市李白故居文化旅游开发有限公司旗下青莲太白大剧院提供外围步道维修翻新服务。</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7CFC19A9">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此次青莲太白大剧院外围步道维修翻新项目最高限价为人民币92000元。（明细详见下表）</w:t>
      </w:r>
    </w:p>
    <w:p w14:paraId="780AA3BF">
      <w:pPr>
        <w:rPr>
          <w:rFonts w:hint="eastAsia" w:ascii="方正小标宋简体" w:hAnsi="方正小标宋简体" w:eastAsia="方正小标宋简体" w:cs="方正小标宋简体"/>
          <w:b w:val="0"/>
          <w:bCs w:val="0"/>
          <w:kern w:val="0"/>
          <w:sz w:val="32"/>
          <w:szCs w:val="32"/>
          <w:lang w:val="en-US" w:eastAsia="zh-CN"/>
        </w:rPr>
      </w:pPr>
      <w:r>
        <w:rPr>
          <w:rFonts w:hint="eastAsia" w:ascii="方正小标宋简体" w:hAnsi="方正小标宋简体" w:eastAsia="方正小标宋简体" w:cs="方正小标宋简体"/>
          <w:b w:val="0"/>
          <w:bCs w:val="0"/>
          <w:kern w:val="0"/>
          <w:sz w:val="32"/>
          <w:szCs w:val="32"/>
          <w:lang w:val="en-US" w:eastAsia="zh-CN"/>
        </w:rPr>
        <w:t xml:space="preserve">      </w:t>
      </w:r>
    </w:p>
    <w:tbl>
      <w:tblPr>
        <w:tblW w:w="8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65"/>
        <w:gridCol w:w="989"/>
        <w:gridCol w:w="3464"/>
        <w:gridCol w:w="741"/>
        <w:gridCol w:w="795"/>
        <w:gridCol w:w="741"/>
        <w:gridCol w:w="1085"/>
      </w:tblGrid>
      <w:tr w14:paraId="49D91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3" w:hRule="atLeast"/>
        </w:trPr>
        <w:tc>
          <w:tcPr>
            <w:tcW w:w="8480" w:type="dxa"/>
            <w:gridSpan w:val="7"/>
            <w:tcBorders>
              <w:top w:val="single" w:color="000000" w:sz="4" w:space="0"/>
              <w:left w:val="single" w:color="000000" w:sz="4" w:space="0"/>
              <w:bottom w:val="single" w:color="000000" w:sz="4" w:space="0"/>
              <w:right w:val="single" w:color="000000" w:sz="4" w:space="0"/>
            </w:tcBorders>
            <w:shd w:val="clear"/>
            <w:noWrap/>
            <w:vAlign w:val="center"/>
          </w:tcPr>
          <w:p w14:paraId="558A0DCB">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spacing w:val="0"/>
                <w:w w:val="100"/>
                <w:kern w:val="0"/>
                <w:position w:val="0"/>
                <w:sz w:val="40"/>
                <w:szCs w:val="40"/>
                <w:u w:val="none"/>
                <w:bdr w:val="none" w:color="auto" w:sz="0" w:space="0"/>
                <w:shd w:val="clear" w:color="auto" w:fill="auto"/>
                <w:lang w:val="en-US" w:eastAsia="zh-CN" w:bidi="ar"/>
              </w:rPr>
              <w:t>青莲太白大剧院外围步道维修翻新报价清单</w:t>
            </w:r>
          </w:p>
        </w:tc>
      </w:tr>
      <w:tr w14:paraId="052AF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5" w:hRule="atLeast"/>
        </w:trPr>
        <w:tc>
          <w:tcPr>
            <w:tcW w:w="665" w:type="dxa"/>
            <w:tcBorders>
              <w:top w:val="single" w:color="000000" w:sz="4" w:space="0"/>
              <w:left w:val="single" w:color="000000" w:sz="4" w:space="0"/>
              <w:bottom w:val="single" w:color="000000" w:sz="4" w:space="0"/>
              <w:right w:val="single" w:color="000000" w:sz="4" w:space="0"/>
            </w:tcBorders>
            <w:shd w:val="clear"/>
            <w:noWrap/>
            <w:vAlign w:val="center"/>
          </w:tcPr>
          <w:p w14:paraId="454D3EA1">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序号</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430F6A0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项目</w:t>
            </w:r>
          </w:p>
        </w:tc>
        <w:tc>
          <w:tcPr>
            <w:tcW w:w="3464" w:type="dxa"/>
            <w:tcBorders>
              <w:top w:val="single" w:color="000000" w:sz="4" w:space="0"/>
              <w:left w:val="single" w:color="000000" w:sz="4" w:space="0"/>
              <w:bottom w:val="single" w:color="000000" w:sz="4" w:space="0"/>
              <w:right w:val="single" w:color="000000" w:sz="4" w:space="0"/>
            </w:tcBorders>
            <w:shd w:val="clear"/>
            <w:vAlign w:val="center"/>
          </w:tcPr>
          <w:p w14:paraId="1262A81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规格型号、技术参数、制作工艺标准</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2C3EE7D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单价</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4C0478E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数量</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06E8773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单位</w:t>
            </w:r>
          </w:p>
        </w:tc>
        <w:tc>
          <w:tcPr>
            <w:tcW w:w="1085" w:type="dxa"/>
            <w:tcBorders>
              <w:top w:val="single" w:color="000000" w:sz="4" w:space="0"/>
              <w:left w:val="single" w:color="000000" w:sz="4" w:space="0"/>
              <w:bottom w:val="single" w:color="000000" w:sz="4" w:space="0"/>
              <w:right w:val="single" w:color="000000" w:sz="4" w:space="0"/>
            </w:tcBorders>
            <w:shd w:val="clear"/>
            <w:vAlign w:val="center"/>
          </w:tcPr>
          <w:p w14:paraId="7CB47C2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金额</w:t>
            </w:r>
          </w:p>
        </w:tc>
      </w:tr>
      <w:tr w14:paraId="57B4C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71" w:hRule="atLeast"/>
        </w:trPr>
        <w:tc>
          <w:tcPr>
            <w:tcW w:w="665" w:type="dxa"/>
            <w:tcBorders>
              <w:top w:val="single" w:color="000000" w:sz="4" w:space="0"/>
              <w:left w:val="single" w:color="000000" w:sz="4" w:space="0"/>
              <w:bottom w:val="single" w:color="000000" w:sz="4" w:space="0"/>
              <w:right w:val="single" w:color="000000" w:sz="4" w:space="0"/>
            </w:tcBorders>
            <w:shd w:val="clear"/>
            <w:noWrap/>
            <w:vAlign w:val="center"/>
          </w:tcPr>
          <w:p w14:paraId="17AF99F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1</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14A5C7A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原有旧步道木板台面拆卸</w:t>
            </w:r>
          </w:p>
        </w:tc>
        <w:tc>
          <w:tcPr>
            <w:tcW w:w="3464" w:type="dxa"/>
            <w:tcBorders>
              <w:top w:val="single" w:color="000000" w:sz="4" w:space="0"/>
              <w:left w:val="single" w:color="000000" w:sz="4" w:space="0"/>
              <w:bottom w:val="single" w:color="000000" w:sz="4" w:space="0"/>
              <w:right w:val="single" w:color="000000" w:sz="4" w:space="0"/>
            </w:tcBorders>
            <w:shd w:val="clear"/>
            <w:noWrap/>
            <w:vAlign w:val="center"/>
          </w:tcPr>
          <w:p w14:paraId="5C18390F">
            <w:pPr>
              <w:keepNext w:val="0"/>
              <w:keepLines w:val="0"/>
              <w:widowControl/>
              <w:suppressLineNumbers w:val="0"/>
              <w:spacing w:after="240" w:afterAutospacing="0"/>
              <w:jc w:val="center"/>
              <w:textAlignment w:val="cente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人工：2人*3天*350元/天</w:t>
            </w:r>
          </w:p>
          <w:p w14:paraId="4F905433">
            <w:pPr>
              <w:keepNext w:val="0"/>
              <w:keepLines w:val="0"/>
              <w:widowControl/>
              <w:suppressLineNumbers w:val="0"/>
              <w:spacing w:after="240" w:afterAutospacing="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=2100元。</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5E60761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22.3</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554EBF4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94</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589A493A">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w:t>
            </w:r>
          </w:p>
        </w:tc>
        <w:tc>
          <w:tcPr>
            <w:tcW w:w="1085" w:type="dxa"/>
            <w:tcBorders>
              <w:top w:val="single" w:color="000000" w:sz="4" w:space="0"/>
              <w:left w:val="single" w:color="000000" w:sz="4" w:space="0"/>
              <w:bottom w:val="single" w:color="000000" w:sz="4" w:space="0"/>
              <w:right w:val="single" w:color="000000" w:sz="4" w:space="0"/>
            </w:tcBorders>
            <w:shd w:val="clear"/>
            <w:vAlign w:val="center"/>
          </w:tcPr>
          <w:p w14:paraId="5262EA3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2096.2</w:t>
            </w:r>
          </w:p>
        </w:tc>
      </w:tr>
      <w:tr w14:paraId="54003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6" w:hRule="atLeast"/>
        </w:trPr>
        <w:tc>
          <w:tcPr>
            <w:tcW w:w="665" w:type="dxa"/>
            <w:tcBorders>
              <w:top w:val="single" w:color="000000" w:sz="4" w:space="0"/>
              <w:left w:val="single" w:color="000000" w:sz="4" w:space="0"/>
              <w:bottom w:val="single" w:color="000000" w:sz="4" w:space="0"/>
              <w:right w:val="single" w:color="000000" w:sz="4" w:space="0"/>
            </w:tcBorders>
            <w:shd w:val="clear"/>
            <w:noWrap/>
            <w:vAlign w:val="center"/>
          </w:tcPr>
          <w:p w14:paraId="060E744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2</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263FF63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原有旧步道木板封边拆卸</w:t>
            </w:r>
          </w:p>
        </w:tc>
        <w:tc>
          <w:tcPr>
            <w:tcW w:w="3464" w:type="dxa"/>
            <w:tcBorders>
              <w:top w:val="single" w:color="000000" w:sz="4" w:space="0"/>
              <w:left w:val="single" w:color="000000" w:sz="4" w:space="0"/>
              <w:bottom w:val="single" w:color="000000" w:sz="4" w:space="0"/>
              <w:right w:val="single" w:color="000000" w:sz="4" w:space="0"/>
            </w:tcBorders>
            <w:shd w:val="clear"/>
            <w:noWrap/>
            <w:vAlign w:val="center"/>
          </w:tcPr>
          <w:p w14:paraId="62047AF7">
            <w:pPr>
              <w:keepNext w:val="0"/>
              <w:keepLines w:val="0"/>
              <w:widowControl/>
              <w:suppressLineNumbers w:val="0"/>
              <w:spacing w:after="240" w:afterAutospacing="0"/>
              <w:jc w:val="center"/>
              <w:textAlignment w:val="cente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人工：1人*3天*350元/天</w:t>
            </w:r>
          </w:p>
          <w:p w14:paraId="323B050A">
            <w:pPr>
              <w:keepNext w:val="0"/>
              <w:keepLines w:val="0"/>
              <w:widowControl/>
              <w:suppressLineNumbers w:val="0"/>
              <w:spacing w:after="240" w:afterAutospacing="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=1050元。</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0557F1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52.5</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0F647B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20</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1A4FBE68">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w:t>
            </w:r>
          </w:p>
        </w:tc>
        <w:tc>
          <w:tcPr>
            <w:tcW w:w="1085" w:type="dxa"/>
            <w:tcBorders>
              <w:top w:val="single" w:color="000000" w:sz="4" w:space="0"/>
              <w:left w:val="single" w:color="000000" w:sz="4" w:space="0"/>
              <w:bottom w:val="single" w:color="000000" w:sz="4" w:space="0"/>
              <w:right w:val="single" w:color="000000" w:sz="4" w:space="0"/>
            </w:tcBorders>
            <w:shd w:val="clear"/>
            <w:vAlign w:val="center"/>
          </w:tcPr>
          <w:p w14:paraId="330162B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1050</w:t>
            </w:r>
          </w:p>
        </w:tc>
      </w:tr>
      <w:tr w14:paraId="01CDF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52" w:hRule="atLeast"/>
        </w:trPr>
        <w:tc>
          <w:tcPr>
            <w:tcW w:w="665" w:type="dxa"/>
            <w:tcBorders>
              <w:top w:val="single" w:color="000000" w:sz="4" w:space="0"/>
              <w:left w:val="single" w:color="000000" w:sz="4" w:space="0"/>
              <w:bottom w:val="single" w:color="000000" w:sz="4" w:space="0"/>
              <w:right w:val="single" w:color="000000" w:sz="4" w:space="0"/>
            </w:tcBorders>
            <w:shd w:val="clear"/>
            <w:noWrap/>
            <w:vAlign w:val="center"/>
          </w:tcPr>
          <w:p w14:paraId="443912F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3</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7D909C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铺设新的步道台阶</w:t>
            </w:r>
          </w:p>
        </w:tc>
        <w:tc>
          <w:tcPr>
            <w:tcW w:w="3464" w:type="dxa"/>
            <w:tcBorders>
              <w:top w:val="single" w:color="000000" w:sz="4" w:space="0"/>
              <w:left w:val="single" w:color="000000" w:sz="4" w:space="0"/>
              <w:bottom w:val="single" w:color="000000" w:sz="4" w:space="0"/>
              <w:right w:val="single" w:color="000000" w:sz="4" w:space="0"/>
            </w:tcBorders>
            <w:shd w:val="clear"/>
            <w:vAlign w:val="center"/>
          </w:tcPr>
          <w:p w14:paraId="6FFAC87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1、材料材质：户外防腐塑木地板；</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2、规格型号：厚30mm*宽140mm*长3000mm；</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3、制作工艺：根据尺寸裁剪板材后，在轻钢龙骨支架上，采取不锈钢螺丝人工固定。</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619345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650</w:t>
            </w:r>
          </w:p>
        </w:tc>
        <w:tc>
          <w:tcPr>
            <w:tcW w:w="795" w:type="dxa"/>
            <w:tcBorders>
              <w:top w:val="single" w:color="000000" w:sz="4" w:space="0"/>
              <w:left w:val="single" w:color="000000" w:sz="4" w:space="0"/>
              <w:bottom w:val="single" w:color="000000" w:sz="4" w:space="0"/>
              <w:right w:val="single" w:color="000000" w:sz="4" w:space="0"/>
            </w:tcBorders>
            <w:shd w:val="clear"/>
            <w:vAlign w:val="center"/>
          </w:tcPr>
          <w:p w14:paraId="2146A66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94</w:t>
            </w:r>
          </w:p>
        </w:tc>
        <w:tc>
          <w:tcPr>
            <w:tcW w:w="741" w:type="dxa"/>
            <w:tcBorders>
              <w:top w:val="single" w:color="000000" w:sz="4" w:space="0"/>
              <w:left w:val="single" w:color="000000" w:sz="4" w:space="0"/>
              <w:bottom w:val="single" w:color="000000" w:sz="4" w:space="0"/>
              <w:right w:val="single" w:color="000000" w:sz="4" w:space="0"/>
            </w:tcBorders>
            <w:shd w:val="clear"/>
            <w:vAlign w:val="center"/>
          </w:tcPr>
          <w:p w14:paraId="3D450ED1">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w:t>
            </w:r>
          </w:p>
        </w:tc>
        <w:tc>
          <w:tcPr>
            <w:tcW w:w="1085" w:type="dxa"/>
            <w:tcBorders>
              <w:top w:val="single" w:color="000000" w:sz="4" w:space="0"/>
              <w:left w:val="single" w:color="000000" w:sz="4" w:space="0"/>
              <w:bottom w:val="single" w:color="000000" w:sz="4" w:space="0"/>
              <w:right w:val="single" w:color="000000" w:sz="4" w:space="0"/>
            </w:tcBorders>
            <w:shd w:val="clear"/>
            <w:vAlign w:val="center"/>
          </w:tcPr>
          <w:p w14:paraId="3032E31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61100</w:t>
            </w:r>
          </w:p>
        </w:tc>
      </w:tr>
      <w:tr w14:paraId="144B4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1" w:hRule="atLeast"/>
        </w:trPr>
        <w:tc>
          <w:tcPr>
            <w:tcW w:w="665" w:type="dxa"/>
            <w:tcBorders>
              <w:top w:val="nil"/>
              <w:left w:val="single" w:color="000000" w:sz="4" w:space="0"/>
              <w:bottom w:val="single" w:color="000000" w:sz="4" w:space="0"/>
              <w:right w:val="single" w:color="000000" w:sz="4" w:space="0"/>
            </w:tcBorders>
            <w:shd w:val="clear"/>
            <w:noWrap/>
            <w:vAlign w:val="center"/>
          </w:tcPr>
          <w:p w14:paraId="5FC16DC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4</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3BA123F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新步道塑木板封边</w:t>
            </w:r>
          </w:p>
        </w:tc>
        <w:tc>
          <w:tcPr>
            <w:tcW w:w="3464" w:type="dxa"/>
            <w:tcBorders>
              <w:top w:val="single" w:color="000000" w:sz="4" w:space="0"/>
              <w:left w:val="nil"/>
              <w:bottom w:val="single" w:color="000000" w:sz="4" w:space="0"/>
              <w:right w:val="single" w:color="000000" w:sz="4" w:space="0"/>
            </w:tcBorders>
            <w:shd w:val="clear"/>
            <w:vAlign w:val="center"/>
          </w:tcPr>
          <w:p w14:paraId="31F3B1A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1、材料材质：户外防腐塑木地板；</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2、规格型号：厚30mm*宽140mm*长3000mm；</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3、制作工艺：根据尺寸裁剪板材后，在轻钢龙骨支架上，采取不锈钢螺丝人工固定。</w:t>
            </w:r>
          </w:p>
        </w:tc>
        <w:tc>
          <w:tcPr>
            <w:tcW w:w="741" w:type="dxa"/>
            <w:tcBorders>
              <w:top w:val="nil"/>
              <w:left w:val="single" w:color="000000" w:sz="4" w:space="0"/>
              <w:bottom w:val="single" w:color="000000" w:sz="4" w:space="0"/>
              <w:right w:val="single" w:color="000000" w:sz="4" w:space="0"/>
            </w:tcBorders>
            <w:shd w:val="clear"/>
            <w:vAlign w:val="center"/>
          </w:tcPr>
          <w:p w14:paraId="1025B07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650</w:t>
            </w:r>
          </w:p>
        </w:tc>
        <w:tc>
          <w:tcPr>
            <w:tcW w:w="795" w:type="dxa"/>
            <w:tcBorders>
              <w:top w:val="nil"/>
              <w:left w:val="single" w:color="000000" w:sz="4" w:space="0"/>
              <w:bottom w:val="single" w:color="000000" w:sz="4" w:space="0"/>
              <w:right w:val="single" w:color="000000" w:sz="4" w:space="0"/>
            </w:tcBorders>
            <w:shd w:val="clear"/>
            <w:vAlign w:val="center"/>
          </w:tcPr>
          <w:p w14:paraId="2152C12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20</w:t>
            </w:r>
          </w:p>
        </w:tc>
        <w:tc>
          <w:tcPr>
            <w:tcW w:w="741" w:type="dxa"/>
            <w:tcBorders>
              <w:top w:val="nil"/>
              <w:left w:val="single" w:color="000000" w:sz="4" w:space="0"/>
              <w:bottom w:val="single" w:color="000000" w:sz="4" w:space="0"/>
              <w:right w:val="single" w:color="000000" w:sz="4" w:space="0"/>
            </w:tcBorders>
            <w:shd w:val="clear"/>
            <w:vAlign w:val="center"/>
          </w:tcPr>
          <w:p w14:paraId="61FEC2AB">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w:t>
            </w:r>
          </w:p>
        </w:tc>
        <w:tc>
          <w:tcPr>
            <w:tcW w:w="1085" w:type="dxa"/>
            <w:tcBorders>
              <w:top w:val="nil"/>
              <w:left w:val="single" w:color="000000" w:sz="4" w:space="0"/>
              <w:bottom w:val="single" w:color="000000" w:sz="4" w:space="0"/>
              <w:right w:val="single" w:color="000000" w:sz="4" w:space="0"/>
            </w:tcBorders>
            <w:shd w:val="clear"/>
            <w:vAlign w:val="center"/>
          </w:tcPr>
          <w:p w14:paraId="22E9FC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13000</w:t>
            </w:r>
          </w:p>
        </w:tc>
      </w:tr>
      <w:tr w14:paraId="558F6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61" w:hRule="atLeast"/>
        </w:trPr>
        <w:tc>
          <w:tcPr>
            <w:tcW w:w="665" w:type="dxa"/>
            <w:tcBorders>
              <w:top w:val="nil"/>
              <w:left w:val="single" w:color="000000" w:sz="4" w:space="0"/>
              <w:bottom w:val="single" w:color="000000" w:sz="4" w:space="0"/>
              <w:right w:val="single" w:color="000000" w:sz="4" w:space="0"/>
            </w:tcBorders>
            <w:shd w:val="clear"/>
            <w:noWrap/>
            <w:vAlign w:val="center"/>
          </w:tcPr>
          <w:p w14:paraId="5E49A19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5</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41F17DE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步道下方及两侧支架加固</w:t>
            </w:r>
          </w:p>
        </w:tc>
        <w:tc>
          <w:tcPr>
            <w:tcW w:w="3464" w:type="dxa"/>
            <w:tcBorders>
              <w:top w:val="single" w:color="000000" w:sz="4" w:space="0"/>
              <w:left w:val="nil"/>
              <w:bottom w:val="single" w:color="000000" w:sz="4" w:space="0"/>
              <w:right w:val="single" w:color="000000" w:sz="4" w:space="0"/>
            </w:tcBorders>
            <w:shd w:val="clear"/>
            <w:vAlign w:val="center"/>
          </w:tcPr>
          <w:p w14:paraId="794E40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1、材料材质：4*6镀锌矩管；</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2、规格型号：厚1.5mm*宽60mm*长6000mm；</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3、工艺标准：4*6镀锌矩管做支架全面加固处理，采用人工焊接工艺固定。</w:t>
            </w:r>
          </w:p>
        </w:tc>
        <w:tc>
          <w:tcPr>
            <w:tcW w:w="741" w:type="dxa"/>
            <w:tcBorders>
              <w:top w:val="nil"/>
              <w:left w:val="single" w:color="000000" w:sz="4" w:space="0"/>
              <w:bottom w:val="single" w:color="000000" w:sz="4" w:space="0"/>
              <w:right w:val="single" w:color="000000" w:sz="4" w:space="0"/>
            </w:tcBorders>
            <w:shd w:val="clear"/>
            <w:vAlign w:val="center"/>
          </w:tcPr>
          <w:p w14:paraId="6012CE4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90</w:t>
            </w:r>
          </w:p>
        </w:tc>
        <w:tc>
          <w:tcPr>
            <w:tcW w:w="795" w:type="dxa"/>
            <w:tcBorders>
              <w:top w:val="nil"/>
              <w:left w:val="single" w:color="000000" w:sz="4" w:space="0"/>
              <w:bottom w:val="single" w:color="000000" w:sz="4" w:space="0"/>
              <w:right w:val="single" w:color="000000" w:sz="4" w:space="0"/>
            </w:tcBorders>
            <w:shd w:val="clear"/>
            <w:vAlign w:val="center"/>
          </w:tcPr>
          <w:p w14:paraId="3BA7BC6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86</w:t>
            </w:r>
          </w:p>
        </w:tc>
        <w:tc>
          <w:tcPr>
            <w:tcW w:w="741" w:type="dxa"/>
            <w:tcBorders>
              <w:top w:val="nil"/>
              <w:left w:val="single" w:color="000000" w:sz="4" w:space="0"/>
              <w:bottom w:val="single" w:color="000000" w:sz="4" w:space="0"/>
              <w:right w:val="single" w:color="000000" w:sz="4" w:space="0"/>
            </w:tcBorders>
            <w:shd w:val="clear"/>
            <w:vAlign w:val="center"/>
          </w:tcPr>
          <w:p w14:paraId="66D2200E">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w:t>
            </w:r>
          </w:p>
        </w:tc>
        <w:tc>
          <w:tcPr>
            <w:tcW w:w="1085" w:type="dxa"/>
            <w:tcBorders>
              <w:top w:val="nil"/>
              <w:left w:val="single" w:color="000000" w:sz="4" w:space="0"/>
              <w:bottom w:val="single" w:color="000000" w:sz="4" w:space="0"/>
              <w:right w:val="single" w:color="000000" w:sz="4" w:space="0"/>
            </w:tcBorders>
            <w:shd w:val="clear"/>
            <w:vAlign w:val="center"/>
          </w:tcPr>
          <w:p w14:paraId="6B116E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7740</w:t>
            </w:r>
          </w:p>
        </w:tc>
      </w:tr>
      <w:tr w14:paraId="5DD69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0" w:hRule="atLeast"/>
        </w:trPr>
        <w:tc>
          <w:tcPr>
            <w:tcW w:w="665" w:type="dxa"/>
            <w:tcBorders>
              <w:top w:val="nil"/>
              <w:left w:val="single" w:color="000000" w:sz="4" w:space="0"/>
              <w:bottom w:val="single" w:color="000000" w:sz="4" w:space="0"/>
              <w:right w:val="single" w:color="000000" w:sz="4" w:space="0"/>
            </w:tcBorders>
            <w:shd w:val="clear"/>
            <w:noWrap/>
            <w:vAlign w:val="center"/>
          </w:tcPr>
          <w:p w14:paraId="5DCA2E36">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6</w:t>
            </w:r>
          </w:p>
        </w:tc>
        <w:tc>
          <w:tcPr>
            <w:tcW w:w="989" w:type="dxa"/>
            <w:tcBorders>
              <w:top w:val="single" w:color="000000" w:sz="4" w:space="0"/>
              <w:left w:val="single" w:color="000000" w:sz="4" w:space="0"/>
              <w:bottom w:val="single" w:color="000000" w:sz="4" w:space="0"/>
              <w:right w:val="single" w:color="000000" w:sz="4" w:space="0"/>
            </w:tcBorders>
            <w:shd w:val="clear"/>
            <w:vAlign w:val="center"/>
          </w:tcPr>
          <w:p w14:paraId="6D5132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防锈防腐蚀处理</w:t>
            </w:r>
          </w:p>
        </w:tc>
        <w:tc>
          <w:tcPr>
            <w:tcW w:w="3464" w:type="dxa"/>
            <w:tcBorders>
              <w:top w:val="single" w:color="000000" w:sz="4" w:space="0"/>
              <w:left w:val="nil"/>
              <w:bottom w:val="single" w:color="000000" w:sz="4" w:space="0"/>
              <w:right w:val="single" w:color="000000" w:sz="4" w:space="0"/>
            </w:tcBorders>
            <w:shd w:val="clear"/>
            <w:vAlign w:val="center"/>
          </w:tcPr>
          <w:p w14:paraId="2E15430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1、材料材质：防锈专用漆、沥青；</w:t>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2、工艺标准：人工喷涂所有轻钢龙骨，做防锈处理；立柱根部用沥青做防腐蚀处理。</w:t>
            </w:r>
          </w:p>
        </w:tc>
        <w:tc>
          <w:tcPr>
            <w:tcW w:w="741" w:type="dxa"/>
            <w:tcBorders>
              <w:top w:val="nil"/>
              <w:left w:val="single" w:color="000000" w:sz="4" w:space="0"/>
              <w:bottom w:val="single" w:color="000000" w:sz="4" w:space="0"/>
              <w:right w:val="single" w:color="000000" w:sz="4" w:space="0"/>
            </w:tcBorders>
            <w:shd w:val="clear"/>
            <w:vAlign w:val="center"/>
          </w:tcPr>
          <w:p w14:paraId="4D95E0F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25</w:t>
            </w:r>
          </w:p>
        </w:tc>
        <w:tc>
          <w:tcPr>
            <w:tcW w:w="795" w:type="dxa"/>
            <w:tcBorders>
              <w:top w:val="nil"/>
              <w:left w:val="single" w:color="000000" w:sz="4" w:space="0"/>
              <w:bottom w:val="single" w:color="000000" w:sz="4" w:space="0"/>
              <w:right w:val="single" w:color="000000" w:sz="4" w:space="0"/>
            </w:tcBorders>
            <w:shd w:val="clear"/>
            <w:vAlign w:val="center"/>
          </w:tcPr>
          <w:p w14:paraId="0E533E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200</w:t>
            </w:r>
          </w:p>
        </w:tc>
        <w:tc>
          <w:tcPr>
            <w:tcW w:w="741" w:type="dxa"/>
            <w:tcBorders>
              <w:top w:val="nil"/>
              <w:left w:val="single" w:color="000000" w:sz="4" w:space="0"/>
              <w:bottom w:val="single" w:color="000000" w:sz="4" w:space="0"/>
              <w:right w:val="single" w:color="000000" w:sz="4" w:space="0"/>
            </w:tcBorders>
            <w:shd w:val="clear"/>
            <w:vAlign w:val="center"/>
          </w:tcPr>
          <w:p w14:paraId="60556D2C">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spacing w:val="0"/>
                <w:w w:val="100"/>
                <w:kern w:val="0"/>
                <w:position w:val="0"/>
                <w:sz w:val="24"/>
                <w:szCs w:val="24"/>
                <w:u w:val="none"/>
                <w:bdr w:val="none" w:color="auto" w:sz="0" w:space="0"/>
                <w:shd w:val="clear" w:color="auto" w:fill="auto"/>
                <w:lang w:val="en-US" w:eastAsia="zh-CN" w:bidi="ar"/>
              </w:rPr>
              <w:t>㎡</w:t>
            </w:r>
          </w:p>
        </w:tc>
        <w:tc>
          <w:tcPr>
            <w:tcW w:w="1085" w:type="dxa"/>
            <w:tcBorders>
              <w:top w:val="nil"/>
              <w:left w:val="single" w:color="000000" w:sz="4" w:space="0"/>
              <w:bottom w:val="single" w:color="000000" w:sz="4" w:space="0"/>
              <w:right w:val="single" w:color="000000" w:sz="4" w:space="0"/>
            </w:tcBorders>
            <w:shd w:val="clear"/>
            <w:vAlign w:val="center"/>
          </w:tcPr>
          <w:p w14:paraId="02D1D4F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5000</w:t>
            </w:r>
          </w:p>
        </w:tc>
      </w:tr>
      <w:tr w14:paraId="4C17B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25" w:hRule="atLeast"/>
        </w:trPr>
        <w:tc>
          <w:tcPr>
            <w:tcW w:w="665" w:type="dxa"/>
            <w:vMerge w:val="restart"/>
            <w:tcBorders>
              <w:top w:val="nil"/>
              <w:left w:val="single" w:color="000000" w:sz="4" w:space="0"/>
              <w:bottom w:val="single" w:color="000000" w:sz="4" w:space="0"/>
              <w:right w:val="nil"/>
            </w:tcBorders>
            <w:shd w:val="clear"/>
            <w:noWrap/>
            <w:vAlign w:val="center"/>
          </w:tcPr>
          <w:p w14:paraId="0B0A384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7</w:t>
            </w:r>
          </w:p>
        </w:tc>
        <w:tc>
          <w:tcPr>
            <w:tcW w:w="989" w:type="dxa"/>
            <w:vMerge w:val="restart"/>
            <w:tcBorders>
              <w:top w:val="single" w:color="000000" w:sz="4" w:space="0"/>
              <w:left w:val="single" w:color="000000" w:sz="4" w:space="0"/>
              <w:bottom w:val="single" w:color="000000" w:sz="4" w:space="0"/>
              <w:right w:val="single" w:color="000000" w:sz="4" w:space="0"/>
            </w:tcBorders>
            <w:shd w:val="clear"/>
            <w:vAlign w:val="center"/>
          </w:tcPr>
          <w:p w14:paraId="43FB3D50">
            <w:pPr>
              <w:keepNext w:val="0"/>
              <w:keepLines w:val="0"/>
              <w:widowControl/>
              <w:suppressLineNumbers w:val="0"/>
              <w:jc w:val="center"/>
              <w:textAlignment w:val="cente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建渣</w:t>
            </w:r>
          </w:p>
          <w:p w14:paraId="718590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清运</w:t>
            </w:r>
          </w:p>
        </w:tc>
        <w:tc>
          <w:tcPr>
            <w:tcW w:w="3464" w:type="dxa"/>
            <w:tcBorders>
              <w:top w:val="single" w:color="000000" w:sz="4" w:space="0"/>
              <w:left w:val="nil"/>
              <w:bottom w:val="single" w:color="000000" w:sz="4" w:space="0"/>
              <w:right w:val="single" w:color="000000" w:sz="4" w:space="0"/>
            </w:tcBorders>
            <w:shd w:val="clear"/>
            <w:vAlign w:val="center"/>
          </w:tcPr>
          <w:p w14:paraId="7A5E4A7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垃圾转运运费（江油-青莲）：300元/车*3车=900元。</w:t>
            </w:r>
          </w:p>
        </w:tc>
        <w:tc>
          <w:tcPr>
            <w:tcW w:w="741" w:type="dxa"/>
            <w:tcBorders>
              <w:top w:val="nil"/>
              <w:left w:val="single" w:color="000000" w:sz="4" w:space="0"/>
              <w:bottom w:val="single" w:color="000000" w:sz="4" w:space="0"/>
              <w:right w:val="single" w:color="000000" w:sz="4" w:space="0"/>
            </w:tcBorders>
            <w:shd w:val="clear"/>
            <w:vAlign w:val="center"/>
          </w:tcPr>
          <w:p w14:paraId="5126519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300</w:t>
            </w:r>
          </w:p>
        </w:tc>
        <w:tc>
          <w:tcPr>
            <w:tcW w:w="795" w:type="dxa"/>
            <w:tcBorders>
              <w:top w:val="nil"/>
              <w:left w:val="single" w:color="000000" w:sz="4" w:space="0"/>
              <w:bottom w:val="single" w:color="000000" w:sz="4" w:space="0"/>
              <w:right w:val="single" w:color="000000" w:sz="4" w:space="0"/>
            </w:tcBorders>
            <w:shd w:val="clear"/>
            <w:vAlign w:val="center"/>
          </w:tcPr>
          <w:p w14:paraId="295A946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3</w:t>
            </w:r>
          </w:p>
        </w:tc>
        <w:tc>
          <w:tcPr>
            <w:tcW w:w="741" w:type="dxa"/>
            <w:tcBorders>
              <w:top w:val="nil"/>
              <w:left w:val="single" w:color="000000" w:sz="4" w:space="0"/>
              <w:bottom w:val="single" w:color="000000" w:sz="4" w:space="0"/>
              <w:right w:val="single" w:color="000000" w:sz="4" w:space="0"/>
            </w:tcBorders>
            <w:shd w:val="clear"/>
            <w:vAlign w:val="center"/>
          </w:tcPr>
          <w:p w14:paraId="71D8130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车</w:t>
            </w:r>
          </w:p>
        </w:tc>
        <w:tc>
          <w:tcPr>
            <w:tcW w:w="1085" w:type="dxa"/>
            <w:tcBorders>
              <w:top w:val="nil"/>
              <w:left w:val="single" w:color="000000" w:sz="4" w:space="0"/>
              <w:bottom w:val="single" w:color="000000" w:sz="4" w:space="0"/>
              <w:right w:val="single" w:color="000000" w:sz="4" w:space="0"/>
            </w:tcBorders>
            <w:shd w:val="clear"/>
            <w:vAlign w:val="center"/>
          </w:tcPr>
          <w:p w14:paraId="5B67E2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900</w:t>
            </w:r>
          </w:p>
        </w:tc>
      </w:tr>
      <w:tr w14:paraId="1988D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25" w:hRule="atLeast"/>
        </w:trPr>
        <w:tc>
          <w:tcPr>
            <w:tcW w:w="665" w:type="dxa"/>
            <w:vMerge w:val="continue"/>
            <w:tcBorders>
              <w:top w:val="nil"/>
              <w:left w:val="single" w:color="000000" w:sz="4" w:space="0"/>
              <w:bottom w:val="single" w:color="000000" w:sz="4" w:space="0"/>
              <w:right w:val="nil"/>
            </w:tcBorders>
            <w:shd w:val="clear"/>
            <w:noWrap/>
            <w:vAlign w:val="center"/>
          </w:tcPr>
          <w:p w14:paraId="42948254">
            <w:pPr>
              <w:jc w:val="center"/>
              <w:rPr>
                <w:rFonts w:hint="eastAsia" w:ascii="仿宋_GB2312" w:hAnsi="宋体" w:eastAsia="仿宋_GB2312" w:cs="仿宋_GB2312"/>
                <w:b/>
                <w:bCs/>
                <w:i w:val="0"/>
                <w:iCs w:val="0"/>
                <w:color w:val="000000"/>
                <w:sz w:val="24"/>
                <w:szCs w:val="24"/>
                <w:u w:val="none"/>
              </w:rPr>
            </w:pPr>
          </w:p>
        </w:tc>
        <w:tc>
          <w:tcPr>
            <w:tcW w:w="989"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AE36C70">
            <w:pPr>
              <w:jc w:val="center"/>
              <w:rPr>
                <w:rFonts w:hint="eastAsia" w:ascii="仿宋_GB2312" w:hAnsi="宋体" w:eastAsia="仿宋_GB2312" w:cs="仿宋_GB2312"/>
                <w:i w:val="0"/>
                <w:iCs w:val="0"/>
                <w:color w:val="000000"/>
                <w:sz w:val="24"/>
                <w:szCs w:val="24"/>
                <w:u w:val="none"/>
              </w:rPr>
            </w:pPr>
          </w:p>
        </w:tc>
        <w:tc>
          <w:tcPr>
            <w:tcW w:w="3464" w:type="dxa"/>
            <w:tcBorders>
              <w:top w:val="single" w:color="000000" w:sz="4" w:space="0"/>
              <w:left w:val="nil"/>
              <w:bottom w:val="single" w:color="000000" w:sz="4" w:space="0"/>
              <w:right w:val="single" w:color="000000" w:sz="4" w:space="0"/>
            </w:tcBorders>
            <w:shd w:val="clear"/>
            <w:noWrap/>
            <w:vAlign w:val="center"/>
          </w:tcPr>
          <w:p w14:paraId="426CD05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垃圾装卸人工：上车费300元/车，下车费300元/车。</w:t>
            </w:r>
          </w:p>
        </w:tc>
        <w:tc>
          <w:tcPr>
            <w:tcW w:w="741" w:type="dxa"/>
            <w:tcBorders>
              <w:top w:val="nil"/>
              <w:left w:val="single" w:color="000000" w:sz="4" w:space="0"/>
              <w:bottom w:val="single" w:color="000000" w:sz="4" w:space="0"/>
              <w:right w:val="single" w:color="000000" w:sz="4" w:space="0"/>
            </w:tcBorders>
            <w:shd w:val="clear"/>
            <w:vAlign w:val="center"/>
          </w:tcPr>
          <w:p w14:paraId="06F9023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300</w:t>
            </w:r>
          </w:p>
        </w:tc>
        <w:tc>
          <w:tcPr>
            <w:tcW w:w="795" w:type="dxa"/>
            <w:tcBorders>
              <w:top w:val="nil"/>
              <w:left w:val="single" w:color="000000" w:sz="4" w:space="0"/>
              <w:bottom w:val="single" w:color="000000" w:sz="4" w:space="0"/>
              <w:right w:val="single" w:color="000000" w:sz="4" w:space="0"/>
            </w:tcBorders>
            <w:shd w:val="clear"/>
            <w:vAlign w:val="center"/>
          </w:tcPr>
          <w:p w14:paraId="714F1E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6</w:t>
            </w:r>
          </w:p>
        </w:tc>
        <w:tc>
          <w:tcPr>
            <w:tcW w:w="741" w:type="dxa"/>
            <w:tcBorders>
              <w:top w:val="nil"/>
              <w:left w:val="single" w:color="000000" w:sz="4" w:space="0"/>
              <w:bottom w:val="single" w:color="000000" w:sz="4" w:space="0"/>
              <w:right w:val="single" w:color="000000" w:sz="4" w:space="0"/>
            </w:tcBorders>
            <w:shd w:val="clear"/>
            <w:vAlign w:val="center"/>
          </w:tcPr>
          <w:p w14:paraId="65185A8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次</w:t>
            </w:r>
          </w:p>
        </w:tc>
        <w:tc>
          <w:tcPr>
            <w:tcW w:w="1085" w:type="dxa"/>
            <w:tcBorders>
              <w:top w:val="nil"/>
              <w:left w:val="single" w:color="000000" w:sz="4" w:space="0"/>
              <w:bottom w:val="single" w:color="000000" w:sz="4" w:space="0"/>
              <w:right w:val="single" w:color="000000" w:sz="4" w:space="0"/>
            </w:tcBorders>
            <w:shd w:val="clear"/>
            <w:vAlign w:val="center"/>
          </w:tcPr>
          <w:p w14:paraId="1C35E1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1800</w:t>
            </w:r>
          </w:p>
        </w:tc>
      </w:tr>
      <w:tr w14:paraId="4A615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0" w:hRule="atLeast"/>
        </w:trPr>
        <w:tc>
          <w:tcPr>
            <w:tcW w:w="5118"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2064B14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小计</w:t>
            </w:r>
          </w:p>
        </w:tc>
        <w:tc>
          <w:tcPr>
            <w:tcW w:w="741" w:type="dxa"/>
            <w:tcBorders>
              <w:top w:val="single" w:color="000000" w:sz="4" w:space="0"/>
              <w:left w:val="single" w:color="000000" w:sz="4" w:space="0"/>
              <w:bottom w:val="single" w:color="000000" w:sz="4" w:space="0"/>
              <w:right w:val="single" w:color="000000" w:sz="4" w:space="0"/>
            </w:tcBorders>
            <w:shd w:val="clear"/>
            <w:noWrap/>
            <w:vAlign w:val="center"/>
          </w:tcPr>
          <w:p w14:paraId="3DC5CB4E">
            <w:pPr>
              <w:jc w:val="center"/>
              <w:rPr>
                <w:rFonts w:hint="eastAsia" w:ascii="仿宋_GB2312" w:hAnsi="宋体" w:eastAsia="仿宋_GB2312" w:cs="仿宋_GB2312"/>
                <w:b/>
                <w:bCs/>
                <w:i w:val="0"/>
                <w:iCs w:val="0"/>
                <w:color w:val="000000"/>
                <w:sz w:val="24"/>
                <w:szCs w:val="24"/>
                <w:u w:val="none"/>
              </w:rPr>
            </w:pPr>
          </w:p>
        </w:tc>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299B637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514</w:t>
            </w:r>
          </w:p>
        </w:tc>
        <w:tc>
          <w:tcPr>
            <w:tcW w:w="741" w:type="dxa"/>
            <w:tcBorders>
              <w:top w:val="single" w:color="000000" w:sz="4" w:space="0"/>
              <w:left w:val="single" w:color="000000" w:sz="4" w:space="0"/>
              <w:bottom w:val="single" w:color="000000" w:sz="4" w:space="0"/>
              <w:right w:val="single" w:color="000000" w:sz="4" w:space="0"/>
            </w:tcBorders>
            <w:shd w:val="clear"/>
            <w:noWrap/>
            <w:vAlign w:val="center"/>
          </w:tcPr>
          <w:p w14:paraId="1F132EE9">
            <w:pPr>
              <w:jc w:val="center"/>
              <w:rPr>
                <w:rFonts w:hint="eastAsia" w:ascii="仿宋_GB2312" w:hAnsi="宋体" w:eastAsia="仿宋_GB2312" w:cs="仿宋_GB2312"/>
                <w:b/>
                <w:bCs/>
                <w:i w:val="0"/>
                <w:iCs w:val="0"/>
                <w:color w:val="000000"/>
                <w:sz w:val="24"/>
                <w:szCs w:val="24"/>
                <w:u w:val="none"/>
              </w:rPr>
            </w:pPr>
          </w:p>
        </w:tc>
        <w:tc>
          <w:tcPr>
            <w:tcW w:w="1085" w:type="dxa"/>
            <w:tcBorders>
              <w:top w:val="nil"/>
              <w:left w:val="single" w:color="000000" w:sz="4" w:space="0"/>
              <w:bottom w:val="single" w:color="000000" w:sz="4" w:space="0"/>
              <w:right w:val="single" w:color="000000" w:sz="4" w:space="0"/>
            </w:tcBorders>
            <w:shd w:val="clear"/>
            <w:vAlign w:val="center"/>
          </w:tcPr>
          <w:p w14:paraId="1681172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89986.2</w:t>
            </w:r>
          </w:p>
        </w:tc>
      </w:tr>
      <w:tr w14:paraId="60F88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0" w:hRule="atLeast"/>
        </w:trPr>
        <w:tc>
          <w:tcPr>
            <w:tcW w:w="665" w:type="dxa"/>
            <w:tcBorders>
              <w:top w:val="single" w:color="000000" w:sz="4" w:space="0"/>
              <w:left w:val="single" w:color="000000" w:sz="4" w:space="0"/>
              <w:bottom w:val="single" w:color="000000" w:sz="4" w:space="0"/>
              <w:right w:val="single" w:color="000000" w:sz="4" w:space="0"/>
            </w:tcBorders>
            <w:shd w:val="clear"/>
            <w:noWrap/>
            <w:vAlign w:val="center"/>
          </w:tcPr>
          <w:p w14:paraId="6826AB3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8</w:t>
            </w:r>
          </w:p>
        </w:tc>
        <w:tc>
          <w:tcPr>
            <w:tcW w:w="989" w:type="dxa"/>
            <w:tcBorders>
              <w:top w:val="single" w:color="000000" w:sz="4" w:space="0"/>
              <w:left w:val="single" w:color="000000" w:sz="4" w:space="0"/>
              <w:bottom w:val="single" w:color="000000" w:sz="4" w:space="0"/>
              <w:right w:val="single" w:color="000000" w:sz="4" w:space="0"/>
            </w:tcBorders>
            <w:shd w:val="clear"/>
            <w:noWrap/>
            <w:vAlign w:val="center"/>
          </w:tcPr>
          <w:p w14:paraId="1D14F85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税费</w:t>
            </w:r>
          </w:p>
        </w:tc>
        <w:tc>
          <w:tcPr>
            <w:tcW w:w="3464" w:type="dxa"/>
            <w:tcBorders>
              <w:top w:val="single" w:color="000000" w:sz="4" w:space="0"/>
              <w:left w:val="single" w:color="000000" w:sz="4" w:space="0"/>
              <w:bottom w:val="single" w:color="000000" w:sz="4" w:space="0"/>
              <w:right w:val="single" w:color="000000" w:sz="4" w:space="0"/>
            </w:tcBorders>
            <w:shd w:val="clear"/>
            <w:noWrap/>
            <w:vAlign w:val="center"/>
          </w:tcPr>
          <w:p w14:paraId="12D6E5D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增值税普通发票，按3%计算</w:t>
            </w:r>
          </w:p>
        </w:tc>
        <w:tc>
          <w:tcPr>
            <w:tcW w:w="741" w:type="dxa"/>
            <w:tcBorders>
              <w:top w:val="single" w:color="000000" w:sz="4" w:space="0"/>
              <w:left w:val="single" w:color="000000" w:sz="4" w:space="0"/>
              <w:bottom w:val="single" w:color="000000" w:sz="4" w:space="0"/>
              <w:right w:val="single" w:color="000000" w:sz="4" w:space="0"/>
            </w:tcBorders>
            <w:shd w:val="clear"/>
            <w:noWrap/>
            <w:vAlign w:val="center"/>
          </w:tcPr>
          <w:p w14:paraId="73FD6375">
            <w:pPr>
              <w:jc w:val="center"/>
              <w:rPr>
                <w:rFonts w:hint="eastAsia" w:ascii="仿宋_GB2312" w:hAnsi="宋体" w:eastAsia="仿宋_GB2312" w:cs="仿宋_GB2312"/>
                <w:i w:val="0"/>
                <w:iCs w:val="0"/>
                <w:color w:val="000000"/>
                <w:sz w:val="24"/>
                <w:szCs w:val="24"/>
                <w:u w:val="none"/>
              </w:rPr>
            </w:pPr>
          </w:p>
        </w:tc>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716BE06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0.03</w:t>
            </w:r>
          </w:p>
        </w:tc>
        <w:tc>
          <w:tcPr>
            <w:tcW w:w="741" w:type="dxa"/>
            <w:tcBorders>
              <w:top w:val="single" w:color="000000" w:sz="4" w:space="0"/>
              <w:left w:val="single" w:color="000000" w:sz="4" w:space="0"/>
              <w:bottom w:val="single" w:color="000000" w:sz="4" w:space="0"/>
              <w:right w:val="single" w:color="000000" w:sz="4" w:space="0"/>
            </w:tcBorders>
            <w:shd w:val="clear"/>
            <w:noWrap/>
            <w:vAlign w:val="center"/>
          </w:tcPr>
          <w:p w14:paraId="043CC31C">
            <w:pPr>
              <w:jc w:val="center"/>
              <w:rPr>
                <w:rFonts w:hint="eastAsia" w:ascii="仿宋_GB2312" w:hAnsi="宋体" w:eastAsia="仿宋_GB2312" w:cs="仿宋_GB2312"/>
                <w:i w:val="0"/>
                <w:iCs w:val="0"/>
                <w:color w:val="000000"/>
                <w:sz w:val="24"/>
                <w:szCs w:val="24"/>
                <w:u w:val="none"/>
              </w:rPr>
            </w:pPr>
          </w:p>
        </w:tc>
        <w:tc>
          <w:tcPr>
            <w:tcW w:w="1085" w:type="dxa"/>
            <w:tcBorders>
              <w:top w:val="nil"/>
              <w:left w:val="single" w:color="000000" w:sz="4" w:space="0"/>
              <w:bottom w:val="single" w:color="000000" w:sz="4" w:space="0"/>
              <w:right w:val="single" w:color="000000" w:sz="4" w:space="0"/>
            </w:tcBorders>
            <w:shd w:val="clear"/>
            <w:vAlign w:val="center"/>
          </w:tcPr>
          <w:p w14:paraId="1D0610B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2699.5</w:t>
            </w:r>
          </w:p>
        </w:tc>
      </w:tr>
      <w:tr w14:paraId="4E2D9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03" w:hRule="atLeast"/>
        </w:trPr>
        <w:tc>
          <w:tcPr>
            <w:tcW w:w="5118"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23947B5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bdr w:val="none" w:color="auto" w:sz="0" w:space="0"/>
                <w:shd w:val="clear" w:color="auto" w:fill="auto"/>
                <w:lang w:val="en-US" w:eastAsia="zh-CN" w:bidi="ar"/>
              </w:rPr>
              <w:t>总计</w:t>
            </w:r>
          </w:p>
        </w:tc>
        <w:tc>
          <w:tcPr>
            <w:tcW w:w="741" w:type="dxa"/>
            <w:tcBorders>
              <w:top w:val="single" w:color="000000" w:sz="4" w:space="0"/>
              <w:left w:val="single" w:color="000000" w:sz="4" w:space="0"/>
              <w:bottom w:val="single" w:color="000000" w:sz="4" w:space="0"/>
              <w:right w:val="single" w:color="000000" w:sz="4" w:space="0"/>
            </w:tcBorders>
            <w:shd w:val="clear"/>
            <w:noWrap/>
            <w:vAlign w:val="center"/>
          </w:tcPr>
          <w:p w14:paraId="4605DCFF">
            <w:pPr>
              <w:jc w:val="center"/>
              <w:rPr>
                <w:rFonts w:hint="eastAsia" w:ascii="仿宋_GB2312" w:hAnsi="宋体" w:eastAsia="仿宋_GB2312" w:cs="仿宋_GB2312"/>
                <w:i w:val="0"/>
                <w:iCs w:val="0"/>
                <w:color w:val="000000"/>
                <w:sz w:val="24"/>
                <w:szCs w:val="24"/>
                <w:u w:val="none"/>
              </w:rPr>
            </w:pPr>
          </w:p>
        </w:tc>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3A0A638B">
            <w:pPr>
              <w:jc w:val="center"/>
              <w:rPr>
                <w:rFonts w:hint="eastAsia" w:ascii="仿宋_GB2312" w:hAnsi="宋体" w:eastAsia="仿宋_GB2312" w:cs="仿宋_GB2312"/>
                <w:i w:val="0"/>
                <w:iCs w:val="0"/>
                <w:color w:val="000000"/>
                <w:sz w:val="24"/>
                <w:szCs w:val="24"/>
                <w:u w:val="none"/>
              </w:rPr>
            </w:pPr>
          </w:p>
        </w:tc>
        <w:tc>
          <w:tcPr>
            <w:tcW w:w="741" w:type="dxa"/>
            <w:tcBorders>
              <w:top w:val="single" w:color="000000" w:sz="4" w:space="0"/>
              <w:left w:val="single" w:color="000000" w:sz="4" w:space="0"/>
              <w:bottom w:val="single" w:color="000000" w:sz="4" w:space="0"/>
              <w:right w:val="single" w:color="000000" w:sz="4" w:space="0"/>
            </w:tcBorders>
            <w:shd w:val="clear"/>
            <w:noWrap/>
            <w:vAlign w:val="center"/>
          </w:tcPr>
          <w:p w14:paraId="18A58FAE">
            <w:pPr>
              <w:jc w:val="center"/>
              <w:rPr>
                <w:rFonts w:hint="eastAsia" w:ascii="仿宋_GB2312" w:hAnsi="宋体" w:eastAsia="仿宋_GB2312" w:cs="仿宋_GB2312"/>
                <w:i w:val="0"/>
                <w:iCs w:val="0"/>
                <w:color w:val="000000"/>
                <w:sz w:val="24"/>
                <w:szCs w:val="24"/>
                <w:u w:val="none"/>
              </w:rPr>
            </w:pPr>
          </w:p>
        </w:tc>
        <w:tc>
          <w:tcPr>
            <w:tcW w:w="1085" w:type="dxa"/>
            <w:tcBorders>
              <w:top w:val="nil"/>
              <w:left w:val="single" w:color="000000" w:sz="4" w:space="0"/>
              <w:bottom w:val="single" w:color="000000" w:sz="4" w:space="0"/>
              <w:right w:val="single" w:color="000000" w:sz="4" w:space="0"/>
            </w:tcBorders>
            <w:shd w:val="clear"/>
            <w:vAlign w:val="center"/>
          </w:tcPr>
          <w:p w14:paraId="2684279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bdr w:val="none" w:color="auto" w:sz="0" w:space="0"/>
                <w:shd w:val="clear" w:color="auto" w:fill="auto"/>
                <w:lang w:val="en-US" w:eastAsia="zh-CN" w:bidi="ar"/>
              </w:rPr>
              <w:t>92685.7</w:t>
            </w:r>
          </w:p>
        </w:tc>
      </w:tr>
    </w:tbl>
    <w:p w14:paraId="4F6BA6EE">
      <w:pPr>
        <w:rPr>
          <w:rFonts w:hint="eastAsia" w:ascii="方正小标宋简体" w:hAnsi="方正小标宋简体" w:eastAsia="方正小标宋简体" w:cs="方正小标宋简体"/>
          <w:b w:val="0"/>
          <w:bCs w:val="0"/>
          <w:kern w:val="0"/>
          <w:sz w:val="32"/>
          <w:szCs w:val="32"/>
          <w:lang w:val="en-US" w:eastAsia="zh-CN"/>
        </w:rPr>
      </w:pPr>
    </w:p>
    <w:p w14:paraId="51689460">
      <w:pPr>
        <w:rPr>
          <w:rFonts w:hint="eastAsia" w:ascii="方正小标宋简体" w:hAnsi="方正小标宋简体" w:eastAsia="方正小标宋简体" w:cs="方正小标宋简体"/>
          <w:b w:val="0"/>
          <w:bCs w:val="0"/>
          <w:kern w:val="0"/>
          <w:sz w:val="32"/>
          <w:szCs w:val="32"/>
          <w:lang w:val="en-US" w:eastAsia="zh-CN"/>
        </w:rPr>
      </w:pPr>
    </w:p>
    <w:p w14:paraId="3F840E28">
      <w:pPr>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、报价需包含人工费、材料费、运输费、安装费、税金等费用；</w:t>
      </w:r>
    </w:p>
    <w:p w14:paraId="79DC884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江油市李白故居文化旅游开发有限公司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江油市青莲镇太白大剧院</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w:t>
            </w:r>
            <w:r>
              <w:rPr>
                <w:rFonts w:hint="eastAsia" w:ascii="宋体" w:hAnsi="宋体" w:eastAsia="宋体" w:cs="宋体"/>
                <w:sz w:val="28"/>
                <w:szCs w:val="28"/>
                <w:u w:val="none" w:color="auto"/>
                <w:lang w:val="en-US" w:eastAsia="zh-CN"/>
              </w:rPr>
              <w:t>合同</w:t>
            </w:r>
            <w:r>
              <w:rPr>
                <w:rFonts w:hint="eastAsia" w:ascii="宋体" w:hAnsi="宋体" w:eastAsia="宋体" w:cs="宋体"/>
                <w:sz w:val="28"/>
                <w:szCs w:val="28"/>
                <w:u w:val="none" w:color="auto"/>
              </w:rPr>
              <w:t>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0BD52D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zh-CN" w:eastAsia="zh-CN"/>
              </w:rPr>
            </w:pPr>
            <w:bookmarkStart w:id="0" w:name="_GoBack"/>
            <w:r>
              <w:rPr>
                <w:rFonts w:hint="eastAsia" w:ascii="宋体" w:hAnsi="宋体" w:eastAsia="宋体" w:cs="宋体"/>
                <w:sz w:val="28"/>
                <w:szCs w:val="28"/>
                <w:u w:val="none" w:color="auto"/>
                <w:lang w:val="zh-CN" w:eastAsia="zh-CN"/>
              </w:rPr>
              <w:t>所涉及</w:t>
            </w:r>
            <w:r>
              <w:rPr>
                <w:rFonts w:hint="eastAsia" w:ascii="宋体" w:hAnsi="宋体" w:eastAsia="宋体" w:cs="宋体"/>
                <w:sz w:val="28"/>
                <w:szCs w:val="28"/>
                <w:u w:val="none" w:color="auto"/>
                <w:lang w:val="en-US" w:eastAsia="zh-CN"/>
              </w:rPr>
              <w:t>翻新改造材料及服务</w:t>
            </w:r>
            <w:r>
              <w:rPr>
                <w:rFonts w:hint="eastAsia" w:ascii="宋体" w:hAnsi="宋体" w:eastAsia="宋体" w:cs="宋体"/>
                <w:sz w:val="28"/>
                <w:szCs w:val="28"/>
                <w:u w:val="none" w:color="auto"/>
                <w:lang w:val="zh-CN" w:eastAsia="zh-CN"/>
              </w:rPr>
              <w:t>必须符合国家</w:t>
            </w:r>
          </w:p>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rPr>
            </w:pPr>
            <w:r>
              <w:rPr>
                <w:rFonts w:hint="eastAsia" w:ascii="宋体" w:hAnsi="宋体" w:eastAsia="宋体" w:cs="宋体"/>
                <w:sz w:val="28"/>
                <w:szCs w:val="28"/>
                <w:u w:val="none" w:color="auto"/>
                <w:lang w:val="zh-CN" w:eastAsia="zh-CN"/>
              </w:rPr>
              <w:t>标准规范</w:t>
            </w:r>
            <w:bookmarkEnd w:id="0"/>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FC8DA6B-C9EE-4F9B-B15C-6F4FFF43BC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C040DE35-7C97-4510-9973-904C8650A9AE}"/>
  </w:font>
  <w:font w:name="仿宋">
    <w:panose1 w:val="02010609060101010101"/>
    <w:charset w:val="86"/>
    <w:family w:val="auto"/>
    <w:pitch w:val="default"/>
    <w:sig w:usb0="800002BF" w:usb1="38CF7CFA" w:usb2="00000016" w:usb3="00000000" w:csb0="00040001" w:csb1="00000000"/>
    <w:embedRegular r:id="rId3" w:fontKey="{3D26E17E-E2BF-416C-885A-A04A41E97C21}"/>
  </w:font>
  <w:font w:name="方正小标宋简体">
    <w:panose1 w:val="02000000000000000000"/>
    <w:charset w:val="86"/>
    <w:family w:val="auto"/>
    <w:pitch w:val="default"/>
    <w:sig w:usb0="00000001" w:usb1="08000000" w:usb2="00000000" w:usb3="00000000" w:csb0="00040000" w:csb1="00000000"/>
    <w:embedRegular r:id="rId4" w:fontKey="{71C90575-7C19-4C1D-ABE9-01116609A235}"/>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4166A81"/>
    <w:rsid w:val="052F3AB7"/>
    <w:rsid w:val="06AA22E5"/>
    <w:rsid w:val="09D771D4"/>
    <w:rsid w:val="0B603E17"/>
    <w:rsid w:val="0B8D0492"/>
    <w:rsid w:val="0CE949D7"/>
    <w:rsid w:val="10BB314E"/>
    <w:rsid w:val="11672464"/>
    <w:rsid w:val="12853ED2"/>
    <w:rsid w:val="134768DF"/>
    <w:rsid w:val="14224BF0"/>
    <w:rsid w:val="161B669A"/>
    <w:rsid w:val="176F311A"/>
    <w:rsid w:val="192B21B3"/>
    <w:rsid w:val="19D94CAA"/>
    <w:rsid w:val="19E5114C"/>
    <w:rsid w:val="20C31381"/>
    <w:rsid w:val="241724D8"/>
    <w:rsid w:val="263113E7"/>
    <w:rsid w:val="26FB52ED"/>
    <w:rsid w:val="278C741F"/>
    <w:rsid w:val="2B206C1F"/>
    <w:rsid w:val="2BE21A2F"/>
    <w:rsid w:val="300C3A87"/>
    <w:rsid w:val="31FB19F3"/>
    <w:rsid w:val="328B74C5"/>
    <w:rsid w:val="34086058"/>
    <w:rsid w:val="360C0D29"/>
    <w:rsid w:val="361719C1"/>
    <w:rsid w:val="36545584"/>
    <w:rsid w:val="37512F06"/>
    <w:rsid w:val="3AF70BD4"/>
    <w:rsid w:val="3B52750D"/>
    <w:rsid w:val="3D320538"/>
    <w:rsid w:val="3E1A1FCA"/>
    <w:rsid w:val="3EE42ED1"/>
    <w:rsid w:val="40B62ABF"/>
    <w:rsid w:val="43D80434"/>
    <w:rsid w:val="47044A64"/>
    <w:rsid w:val="498126DD"/>
    <w:rsid w:val="499910CF"/>
    <w:rsid w:val="4BFA3450"/>
    <w:rsid w:val="4E847B7E"/>
    <w:rsid w:val="4F59011B"/>
    <w:rsid w:val="50CA2BBB"/>
    <w:rsid w:val="520A31DD"/>
    <w:rsid w:val="53714D2C"/>
    <w:rsid w:val="557038BD"/>
    <w:rsid w:val="55F67FAE"/>
    <w:rsid w:val="57752E80"/>
    <w:rsid w:val="57C16B81"/>
    <w:rsid w:val="59E051FD"/>
    <w:rsid w:val="5B597072"/>
    <w:rsid w:val="5B7D3FF5"/>
    <w:rsid w:val="5CD851F3"/>
    <w:rsid w:val="5DEA21A7"/>
    <w:rsid w:val="5FA21143"/>
    <w:rsid w:val="5FC15772"/>
    <w:rsid w:val="5FC15FA1"/>
    <w:rsid w:val="606D70BF"/>
    <w:rsid w:val="60AE14F9"/>
    <w:rsid w:val="6104037C"/>
    <w:rsid w:val="61853D3F"/>
    <w:rsid w:val="637F7835"/>
    <w:rsid w:val="64047E51"/>
    <w:rsid w:val="65391A6E"/>
    <w:rsid w:val="65D57BE0"/>
    <w:rsid w:val="69B755F9"/>
    <w:rsid w:val="6D4E5FC4"/>
    <w:rsid w:val="6D860727"/>
    <w:rsid w:val="71494FDF"/>
    <w:rsid w:val="72862412"/>
    <w:rsid w:val="732E26DE"/>
    <w:rsid w:val="769B58D2"/>
    <w:rsid w:val="77FB787A"/>
    <w:rsid w:val="78185787"/>
    <w:rsid w:val="793D367B"/>
    <w:rsid w:val="79D66EE7"/>
    <w:rsid w:val="7B9559F0"/>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Body Text Indent"/>
    <w:basedOn w:val="1"/>
    <w:qFormat/>
    <w:uiPriority w:val="0"/>
    <w:pPr>
      <w:adjustRightInd w:val="0"/>
      <w:snapToGrid w:val="0"/>
      <w:spacing w:line="360" w:lineRule="auto"/>
      <w:ind w:firstLine="560" w:firstLineChars="200"/>
    </w:pPr>
    <w:rPr>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 w:type="character" w:customStyle="1" w:styleId="15">
    <w:name w:val="font21"/>
    <w:basedOn w:val="8"/>
    <w:uiPriority w:val="0"/>
    <w:rPr>
      <w:rFonts w:hint="eastAsia" w:ascii="宋体" w:hAnsi="宋体" w:eastAsia="宋体" w:cs="宋体"/>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1162</Words>
  <Characters>1927</Characters>
  <Lines>0</Lines>
  <Paragraphs>0</Paragraphs>
  <TotalTime>0</TotalTime>
  <ScaleCrop>false</ScaleCrop>
  <LinksUpToDate>false</LinksUpToDate>
  <CharactersWithSpaces>1953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2025-03-24T06:25:00Z</cp:lastPrinted>
  <dcterms:modified xsi:type="dcterms:W3CDTF">2025-05-20T07:54:02Z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