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为江油市李白故居文化旅游开发有限公司旗下李白文化博物馆及青莲文化艺术中心采购消防安全评估服务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7CFC19A9">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消防安全评估服务</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采购最高限价为人民币367500元。（明细详见下表）</w:t>
      </w:r>
    </w:p>
    <w:p w14:paraId="1381F7E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kern w:val="0"/>
          <w:sz w:val="32"/>
          <w:szCs w:val="32"/>
          <w:lang w:eastAsia="zh-CN"/>
        </w:rPr>
      </w:pPr>
      <w:r>
        <w:rPr>
          <w:rFonts w:hint="eastAsia" w:ascii="方正小标宋简体" w:hAnsi="方正小标宋简体" w:eastAsia="方正小标宋简体" w:cs="方正小标宋简体"/>
          <w:b w:val="0"/>
          <w:bCs w:val="0"/>
          <w:kern w:val="0"/>
          <w:sz w:val="32"/>
          <w:szCs w:val="32"/>
          <w:lang w:val="en-US" w:eastAsia="zh-CN"/>
        </w:rPr>
        <w:t xml:space="preserve">      </w:t>
      </w:r>
      <w:r>
        <w:rPr>
          <w:rFonts w:hint="eastAsia" w:ascii="方正小标宋简体" w:hAnsi="方正小标宋简体" w:eastAsia="方正小标宋简体" w:cs="方正小标宋简体"/>
          <w:b w:val="0"/>
          <w:bCs w:val="0"/>
          <w:kern w:val="0"/>
          <w:sz w:val="32"/>
          <w:szCs w:val="32"/>
          <w:lang w:eastAsia="zh-CN"/>
        </w:rPr>
        <w:t>消防安全评估费用测算</w:t>
      </w:r>
    </w:p>
    <w:tbl>
      <w:tblPr>
        <w:tblStyle w:val="7"/>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4314"/>
        <w:gridCol w:w="1450"/>
        <w:gridCol w:w="1340"/>
        <w:gridCol w:w="1364"/>
      </w:tblGrid>
      <w:tr w14:paraId="0B4BA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noWrap w:val="0"/>
            <w:vAlign w:val="center"/>
          </w:tcPr>
          <w:p w14:paraId="1EAEDD05">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eastAsia" w:eastAsia="仿宋_GB2312"/>
                <w:b/>
                <w:bCs/>
                <w:sz w:val="24"/>
                <w:szCs w:val="24"/>
                <w:vertAlign w:val="baseline"/>
                <w:lang w:val="en-US" w:eastAsia="zh-CN"/>
              </w:rPr>
            </w:pPr>
            <w:r>
              <w:rPr>
                <w:rFonts w:hint="eastAsia"/>
                <w:b/>
                <w:bCs/>
                <w:sz w:val="24"/>
                <w:szCs w:val="24"/>
                <w:vertAlign w:val="baseline"/>
                <w:lang w:val="en-US" w:eastAsia="zh-CN"/>
              </w:rPr>
              <w:t>项目</w:t>
            </w:r>
          </w:p>
        </w:tc>
        <w:tc>
          <w:tcPr>
            <w:tcW w:w="4314" w:type="dxa"/>
            <w:noWrap w:val="0"/>
            <w:vAlign w:val="center"/>
          </w:tcPr>
          <w:p w14:paraId="3427119A">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eastAsia"/>
                <w:b/>
                <w:bCs/>
                <w:sz w:val="24"/>
                <w:szCs w:val="24"/>
                <w:vertAlign w:val="baseline"/>
                <w:lang w:eastAsia="zh-CN"/>
              </w:rPr>
            </w:pPr>
            <w:r>
              <w:rPr>
                <w:rFonts w:hint="eastAsia"/>
                <w:b/>
                <w:bCs/>
                <w:sz w:val="24"/>
                <w:szCs w:val="24"/>
                <w:vertAlign w:val="baseline"/>
                <w:lang w:eastAsia="zh-CN"/>
              </w:rPr>
              <w:t>服务内容</w:t>
            </w:r>
          </w:p>
        </w:tc>
        <w:tc>
          <w:tcPr>
            <w:tcW w:w="1450" w:type="dxa"/>
            <w:noWrap w:val="0"/>
            <w:vAlign w:val="center"/>
          </w:tcPr>
          <w:p w14:paraId="4AAA2B98">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eastAsia"/>
                <w:b/>
                <w:bCs/>
                <w:sz w:val="24"/>
                <w:szCs w:val="24"/>
                <w:vertAlign w:val="baseline"/>
                <w:lang w:eastAsia="zh-CN"/>
              </w:rPr>
            </w:pPr>
            <w:r>
              <w:rPr>
                <w:rFonts w:hint="eastAsia"/>
                <w:b/>
                <w:bCs/>
                <w:sz w:val="24"/>
                <w:szCs w:val="24"/>
                <w:vertAlign w:val="baseline"/>
                <w:lang w:eastAsia="zh-CN"/>
              </w:rPr>
              <w:t>数量（处）</w:t>
            </w:r>
          </w:p>
        </w:tc>
        <w:tc>
          <w:tcPr>
            <w:tcW w:w="1340" w:type="dxa"/>
            <w:noWrap w:val="0"/>
            <w:vAlign w:val="center"/>
          </w:tcPr>
          <w:p w14:paraId="594F7071">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eastAsia"/>
                <w:b/>
                <w:bCs/>
                <w:sz w:val="24"/>
                <w:szCs w:val="24"/>
                <w:vertAlign w:val="baseline"/>
                <w:lang w:eastAsia="zh-CN"/>
              </w:rPr>
            </w:pPr>
            <w:r>
              <w:rPr>
                <w:rFonts w:hint="eastAsia"/>
                <w:b/>
                <w:bCs/>
                <w:sz w:val="24"/>
                <w:szCs w:val="24"/>
                <w:vertAlign w:val="baseline"/>
                <w:lang w:eastAsia="zh-CN"/>
              </w:rPr>
              <w:t>单价</w:t>
            </w:r>
          </w:p>
        </w:tc>
        <w:tc>
          <w:tcPr>
            <w:tcW w:w="1364" w:type="dxa"/>
            <w:noWrap w:val="0"/>
            <w:vAlign w:val="center"/>
          </w:tcPr>
          <w:p w14:paraId="4989F5F4">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eastAsia"/>
                <w:b/>
                <w:bCs/>
                <w:sz w:val="24"/>
                <w:szCs w:val="24"/>
                <w:vertAlign w:val="baseline"/>
                <w:lang w:eastAsia="zh-CN"/>
              </w:rPr>
            </w:pPr>
            <w:r>
              <w:rPr>
                <w:rFonts w:hint="eastAsia"/>
                <w:b/>
                <w:bCs/>
                <w:sz w:val="24"/>
                <w:szCs w:val="24"/>
                <w:vertAlign w:val="baseline"/>
                <w:lang w:eastAsia="zh-CN"/>
              </w:rPr>
              <w:t>金额（元）</w:t>
            </w:r>
          </w:p>
        </w:tc>
      </w:tr>
      <w:tr w14:paraId="38D05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Merge w:val="restart"/>
            <w:noWrap w:val="0"/>
            <w:vAlign w:val="center"/>
          </w:tcPr>
          <w:p w14:paraId="0CD9D40D">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eastAsia="zh-CN"/>
              </w:rPr>
            </w:pPr>
            <w:r>
              <w:rPr>
                <w:rFonts w:hint="default" w:ascii="Times New Roman" w:hAnsi="Times New Roman" w:eastAsia="仿宋_GB2312" w:cs="Times New Roman"/>
                <w:b w:val="0"/>
                <w:bCs w:val="0"/>
                <w:kern w:val="0"/>
                <w:sz w:val="24"/>
                <w:szCs w:val="24"/>
              </w:rPr>
              <w:t>李白文化博物馆及青莲文化艺术中心(现青莲·太白大剧院)</w:t>
            </w:r>
            <w:r>
              <w:rPr>
                <w:rFonts w:hint="default" w:ascii="Times New Roman" w:hAnsi="Times New Roman" w:cs="Times New Roman"/>
                <w:b w:val="0"/>
                <w:bCs w:val="0"/>
                <w:kern w:val="0"/>
                <w:sz w:val="24"/>
                <w:szCs w:val="24"/>
                <w:lang w:eastAsia="zh-CN"/>
              </w:rPr>
              <w:t>消防安全评估</w:t>
            </w:r>
          </w:p>
        </w:tc>
        <w:tc>
          <w:tcPr>
            <w:tcW w:w="4314" w:type="dxa"/>
            <w:noWrap w:val="0"/>
            <w:vAlign w:val="center"/>
          </w:tcPr>
          <w:p w14:paraId="4989E6D9">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eastAsia="zh-CN"/>
              </w:rPr>
            </w:pPr>
            <w:r>
              <w:rPr>
                <w:rFonts w:hint="default" w:ascii="Times New Roman" w:hAnsi="Times New Roman" w:cs="Times New Roman"/>
                <w:sz w:val="24"/>
                <w:szCs w:val="24"/>
                <w:vertAlign w:val="baseline"/>
                <w:lang w:eastAsia="zh-CN"/>
              </w:rPr>
              <w:t>1、对建筑防火、消防设施两大板块按照原建设时的规范要求开展消防评估，提出存在的消化博物馆及防问题;</w:t>
            </w:r>
          </w:p>
        </w:tc>
        <w:tc>
          <w:tcPr>
            <w:tcW w:w="1450" w:type="dxa"/>
            <w:noWrap w:val="0"/>
            <w:vAlign w:val="center"/>
          </w:tcPr>
          <w:p w14:paraId="14B47F8F">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2</w:t>
            </w:r>
          </w:p>
        </w:tc>
        <w:tc>
          <w:tcPr>
            <w:tcW w:w="1340" w:type="dxa"/>
            <w:noWrap w:val="0"/>
            <w:vAlign w:val="center"/>
          </w:tcPr>
          <w:p w14:paraId="4659CC40">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87500元</w:t>
            </w:r>
          </w:p>
        </w:tc>
        <w:tc>
          <w:tcPr>
            <w:tcW w:w="1364" w:type="dxa"/>
            <w:noWrap w:val="0"/>
            <w:vAlign w:val="center"/>
          </w:tcPr>
          <w:p w14:paraId="6F7B1709">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175000元</w:t>
            </w:r>
          </w:p>
        </w:tc>
      </w:tr>
      <w:tr w14:paraId="01798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Merge w:val="continue"/>
            <w:noWrap w:val="0"/>
            <w:vAlign w:val="center"/>
          </w:tcPr>
          <w:p w14:paraId="720F8E98">
            <w:pPr>
              <w:pStyle w:val="2"/>
              <w:keepNext w:val="0"/>
              <w:keepLines w:val="0"/>
              <w:pageBreakBefore w:val="0"/>
              <w:widowControl w:val="0"/>
              <w:kinsoku/>
              <w:wordWrap/>
              <w:overflowPunct/>
              <w:topLinePunct w:val="0"/>
              <w:autoSpaceDE/>
              <w:autoSpaceDN/>
              <w:bidi w:val="0"/>
              <w:adjustRightInd w:val="0"/>
              <w:snapToGrid w:val="0"/>
              <w:spacing w:after="0" w:line="576" w:lineRule="exact"/>
              <w:jc w:val="center"/>
              <w:textAlignment w:val="auto"/>
              <w:rPr>
                <w:rFonts w:hint="default" w:ascii="Times New Roman" w:hAnsi="Times New Roman" w:cs="Times New Roman"/>
                <w:sz w:val="24"/>
                <w:szCs w:val="24"/>
                <w:vertAlign w:val="baseline"/>
                <w:lang w:eastAsia="zh-CN"/>
              </w:rPr>
            </w:pPr>
          </w:p>
        </w:tc>
        <w:tc>
          <w:tcPr>
            <w:tcW w:w="4314" w:type="dxa"/>
            <w:noWrap w:val="0"/>
            <w:vAlign w:val="center"/>
          </w:tcPr>
          <w:p w14:paraId="5BF087E8">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eastAsia="zh-CN"/>
              </w:rPr>
            </w:pPr>
            <w:r>
              <w:rPr>
                <w:rFonts w:hint="default" w:ascii="Times New Roman" w:hAnsi="Times New Roman" w:cs="Times New Roman"/>
                <w:sz w:val="24"/>
                <w:szCs w:val="24"/>
                <w:vertAlign w:val="baseline"/>
                <w:lang w:eastAsia="zh-CN"/>
              </w:rPr>
              <w:t>2、在建设单位组织实施整改过程中，提供技术支持;</w:t>
            </w:r>
          </w:p>
        </w:tc>
        <w:tc>
          <w:tcPr>
            <w:tcW w:w="1450" w:type="dxa"/>
            <w:noWrap w:val="0"/>
            <w:vAlign w:val="center"/>
          </w:tcPr>
          <w:p w14:paraId="46B57EA5">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2</w:t>
            </w:r>
          </w:p>
        </w:tc>
        <w:tc>
          <w:tcPr>
            <w:tcW w:w="1340" w:type="dxa"/>
            <w:noWrap w:val="0"/>
            <w:vAlign w:val="center"/>
          </w:tcPr>
          <w:p w14:paraId="3EBD8DD7">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28000元</w:t>
            </w:r>
          </w:p>
        </w:tc>
        <w:tc>
          <w:tcPr>
            <w:tcW w:w="1364" w:type="dxa"/>
            <w:noWrap w:val="0"/>
            <w:vAlign w:val="center"/>
          </w:tcPr>
          <w:p w14:paraId="322FA87F">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56000元</w:t>
            </w:r>
          </w:p>
        </w:tc>
      </w:tr>
      <w:tr w14:paraId="3080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Merge w:val="continue"/>
            <w:noWrap w:val="0"/>
            <w:vAlign w:val="center"/>
          </w:tcPr>
          <w:p w14:paraId="1110BB22">
            <w:pPr>
              <w:pStyle w:val="2"/>
              <w:keepNext w:val="0"/>
              <w:keepLines w:val="0"/>
              <w:pageBreakBefore w:val="0"/>
              <w:widowControl w:val="0"/>
              <w:kinsoku/>
              <w:wordWrap/>
              <w:overflowPunct/>
              <w:topLinePunct w:val="0"/>
              <w:autoSpaceDE/>
              <w:autoSpaceDN/>
              <w:bidi w:val="0"/>
              <w:adjustRightInd w:val="0"/>
              <w:snapToGrid w:val="0"/>
              <w:spacing w:after="0" w:line="576" w:lineRule="exact"/>
              <w:jc w:val="center"/>
              <w:textAlignment w:val="auto"/>
              <w:rPr>
                <w:rFonts w:hint="default" w:ascii="Times New Roman" w:hAnsi="Times New Roman" w:cs="Times New Roman"/>
                <w:sz w:val="24"/>
                <w:szCs w:val="24"/>
                <w:vertAlign w:val="baseline"/>
                <w:lang w:eastAsia="zh-CN"/>
              </w:rPr>
            </w:pPr>
          </w:p>
        </w:tc>
        <w:tc>
          <w:tcPr>
            <w:tcW w:w="4314" w:type="dxa"/>
            <w:noWrap w:val="0"/>
            <w:vAlign w:val="center"/>
          </w:tcPr>
          <w:p w14:paraId="56C60571">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eastAsia="zh-CN"/>
              </w:rPr>
              <w:t>3、整改结束后,我单位对现场整改情况进行确认，整改合格后出具结论为“合格”的《消防咨询项目安全评估报告》;</w:t>
            </w:r>
          </w:p>
        </w:tc>
        <w:tc>
          <w:tcPr>
            <w:tcW w:w="1450" w:type="dxa"/>
            <w:noWrap w:val="0"/>
            <w:vAlign w:val="center"/>
          </w:tcPr>
          <w:p w14:paraId="48B56A5B">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2</w:t>
            </w:r>
          </w:p>
        </w:tc>
        <w:tc>
          <w:tcPr>
            <w:tcW w:w="1340" w:type="dxa"/>
            <w:noWrap w:val="0"/>
            <w:vAlign w:val="center"/>
          </w:tcPr>
          <w:p w14:paraId="3EDE9BD9">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28250元</w:t>
            </w:r>
          </w:p>
        </w:tc>
        <w:tc>
          <w:tcPr>
            <w:tcW w:w="1364" w:type="dxa"/>
            <w:noWrap w:val="0"/>
            <w:vAlign w:val="center"/>
          </w:tcPr>
          <w:p w14:paraId="450F92F3">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56500元</w:t>
            </w:r>
          </w:p>
        </w:tc>
      </w:tr>
      <w:tr w14:paraId="474A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Merge w:val="continue"/>
            <w:noWrap w:val="0"/>
            <w:vAlign w:val="center"/>
          </w:tcPr>
          <w:p w14:paraId="053EBB40">
            <w:pPr>
              <w:pStyle w:val="2"/>
              <w:keepNext w:val="0"/>
              <w:keepLines w:val="0"/>
              <w:pageBreakBefore w:val="0"/>
              <w:widowControl w:val="0"/>
              <w:kinsoku/>
              <w:wordWrap/>
              <w:overflowPunct/>
              <w:topLinePunct w:val="0"/>
              <w:autoSpaceDE/>
              <w:autoSpaceDN/>
              <w:bidi w:val="0"/>
              <w:adjustRightInd w:val="0"/>
              <w:snapToGrid w:val="0"/>
              <w:spacing w:after="0" w:line="576" w:lineRule="exact"/>
              <w:jc w:val="center"/>
              <w:textAlignment w:val="auto"/>
              <w:rPr>
                <w:rFonts w:hint="default" w:ascii="Times New Roman" w:hAnsi="Times New Roman" w:cs="Times New Roman"/>
                <w:sz w:val="24"/>
                <w:szCs w:val="24"/>
                <w:vertAlign w:val="baseline"/>
                <w:lang w:eastAsia="zh-CN"/>
              </w:rPr>
            </w:pPr>
          </w:p>
        </w:tc>
        <w:tc>
          <w:tcPr>
            <w:tcW w:w="4314" w:type="dxa"/>
            <w:noWrap w:val="0"/>
            <w:vAlign w:val="center"/>
          </w:tcPr>
          <w:p w14:paraId="5A8E5A47">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eastAsia="zh-CN"/>
              </w:rPr>
            </w:pPr>
            <w:r>
              <w:rPr>
                <w:rFonts w:hint="default" w:ascii="Times New Roman" w:hAnsi="Times New Roman" w:cs="Times New Roman"/>
                <w:sz w:val="24"/>
                <w:szCs w:val="24"/>
                <w:vertAlign w:val="baseline"/>
                <w:lang w:eastAsia="zh-CN"/>
              </w:rPr>
              <w:t>协助建设单位开展消防工作。</w:t>
            </w:r>
          </w:p>
        </w:tc>
        <w:tc>
          <w:tcPr>
            <w:tcW w:w="1450" w:type="dxa"/>
            <w:noWrap w:val="0"/>
            <w:vAlign w:val="center"/>
          </w:tcPr>
          <w:p w14:paraId="74ABD824">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2</w:t>
            </w:r>
          </w:p>
        </w:tc>
        <w:tc>
          <w:tcPr>
            <w:tcW w:w="1340" w:type="dxa"/>
            <w:noWrap w:val="0"/>
            <w:vAlign w:val="center"/>
          </w:tcPr>
          <w:p w14:paraId="413A9366">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40000元</w:t>
            </w:r>
          </w:p>
        </w:tc>
        <w:tc>
          <w:tcPr>
            <w:tcW w:w="1364" w:type="dxa"/>
            <w:noWrap w:val="0"/>
            <w:vAlign w:val="center"/>
          </w:tcPr>
          <w:p w14:paraId="547EBF00">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80000元</w:t>
            </w:r>
          </w:p>
        </w:tc>
      </w:tr>
      <w:tr w14:paraId="14354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6" w:type="dxa"/>
            <w:gridSpan w:val="3"/>
            <w:noWrap w:val="0"/>
            <w:vAlign w:val="center"/>
          </w:tcPr>
          <w:p w14:paraId="068BBE1F">
            <w:pPr>
              <w:pStyle w:val="2"/>
              <w:keepNext w:val="0"/>
              <w:keepLines w:val="0"/>
              <w:pageBreakBefore w:val="0"/>
              <w:widowControl w:val="0"/>
              <w:kinsoku/>
              <w:wordWrap/>
              <w:overflowPunct/>
              <w:topLinePunct w:val="0"/>
              <w:autoSpaceDE/>
              <w:autoSpaceDN/>
              <w:bidi w:val="0"/>
              <w:adjustRightInd w:val="0"/>
              <w:snapToGrid w:val="0"/>
              <w:spacing w:after="0" w:line="576" w:lineRule="exact"/>
              <w:jc w:val="center"/>
              <w:textAlignment w:val="auto"/>
              <w:rPr>
                <w:rFonts w:hint="default" w:ascii="Times New Roman" w:hAnsi="Times New Roman" w:cs="Times New Roman"/>
                <w:sz w:val="24"/>
                <w:szCs w:val="24"/>
                <w:vertAlign w:val="baseline"/>
                <w:lang w:eastAsia="zh-CN"/>
              </w:rPr>
            </w:pPr>
            <w:r>
              <w:rPr>
                <w:rFonts w:hint="default" w:ascii="Times New Roman" w:hAnsi="Times New Roman" w:cs="Times New Roman"/>
                <w:sz w:val="24"/>
                <w:szCs w:val="24"/>
                <w:vertAlign w:val="baseline"/>
                <w:lang w:eastAsia="zh-CN"/>
              </w:rPr>
              <w:t>合计：（大写：叁拾陆万柒仟伍佰</w:t>
            </w:r>
            <w:r>
              <w:rPr>
                <w:rFonts w:hint="eastAsia" w:ascii="Times New Roman" w:hAnsi="Times New Roman" w:cs="Times New Roman"/>
                <w:sz w:val="24"/>
                <w:szCs w:val="24"/>
                <w:vertAlign w:val="baseline"/>
                <w:lang w:eastAsia="zh-CN"/>
              </w:rPr>
              <w:t>元</w:t>
            </w:r>
            <w:r>
              <w:rPr>
                <w:rFonts w:hint="default" w:ascii="Times New Roman" w:hAnsi="Times New Roman" w:cs="Times New Roman"/>
                <w:sz w:val="24"/>
                <w:szCs w:val="24"/>
                <w:vertAlign w:val="baseline"/>
                <w:lang w:eastAsia="zh-CN"/>
              </w:rPr>
              <w:t>整）</w:t>
            </w:r>
          </w:p>
        </w:tc>
        <w:tc>
          <w:tcPr>
            <w:tcW w:w="2704" w:type="dxa"/>
            <w:gridSpan w:val="2"/>
            <w:noWrap w:val="0"/>
            <w:vAlign w:val="center"/>
          </w:tcPr>
          <w:p w14:paraId="4323EB09">
            <w:pPr>
              <w:pStyle w:val="2"/>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367500</w:t>
            </w:r>
            <w:r>
              <w:rPr>
                <w:rFonts w:hint="eastAsia" w:ascii="Times New Roman" w:hAnsi="Times New Roman" w:cs="Times New Roman"/>
                <w:sz w:val="24"/>
                <w:szCs w:val="24"/>
                <w:vertAlign w:val="baseline"/>
                <w:lang w:val="en-US" w:eastAsia="zh-CN"/>
              </w:rPr>
              <w:t>元</w:t>
            </w:r>
          </w:p>
        </w:tc>
      </w:tr>
    </w:tbl>
    <w:p w14:paraId="3F840E28">
      <w:pPr>
        <w:rPr>
          <w:rFonts w:hint="default"/>
          <w:lang w:val="en-US" w:eastAsia="zh-CN"/>
        </w:rPr>
      </w:pPr>
    </w:p>
    <w:p w14:paraId="08920164">
      <w:pPr>
        <w:pStyle w:val="2"/>
        <w:rPr>
          <w:rFonts w:hint="default"/>
          <w:lang w:val="en-US" w:eastAsia="zh-CN"/>
        </w:rPr>
      </w:pPr>
    </w:p>
    <w:p w14:paraId="5582DC4B">
      <w:pPr>
        <w:rPr>
          <w:rFonts w:hint="default"/>
          <w:lang w:val="en-US" w:eastAsia="zh-CN"/>
        </w:rPr>
      </w:pPr>
    </w:p>
    <w:p w14:paraId="435EC2DA">
      <w:pPr>
        <w:pStyle w:val="2"/>
        <w:rPr>
          <w:rFonts w:hint="default"/>
          <w:lang w:val="en-US" w:eastAsia="zh-CN"/>
        </w:rPr>
      </w:pPr>
      <w:bookmarkStart w:id="0" w:name="_GoBack"/>
      <w:bookmarkEnd w:id="0"/>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、报价需包含人工费、材料费、运输费、税金、装订费等费用；</w:t>
      </w:r>
    </w:p>
    <w:p w14:paraId="79DC8847">
      <w:pPr>
        <w:pStyle w:val="2"/>
        <w:ind w:left="0" w:leftChars="0"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江油市李白故居文化旅游开发有限公司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江油市青莲镇</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026C596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default" w:ascii="宋体" w:hAnsi="宋体" w:eastAsia="宋体" w:cs="宋体"/>
                <w:sz w:val="28"/>
                <w:szCs w:val="28"/>
                <w:u w:val="none" w:color="auto"/>
                <w:lang w:val="en-US" w:eastAsia="zh-CN"/>
              </w:rPr>
              <w:t>《消防咨询项目安全评估报告》</w:t>
            </w:r>
          </w:p>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rPr>
            </w:pPr>
            <w:r>
              <w:rPr>
                <w:rFonts w:hint="eastAsia" w:ascii="宋体" w:hAnsi="宋体" w:eastAsia="宋体" w:cs="宋体"/>
                <w:sz w:val="28"/>
                <w:szCs w:val="28"/>
                <w:u w:val="none" w:color="auto"/>
                <w:lang w:val="en-US" w:eastAsia="zh-CN"/>
              </w:rPr>
              <w:t>提交住建部门登记备案</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5112BF9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4A5FAE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14BAD2-D74E-4A13-A471-80CB4F0188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9DB65206-F864-406C-81B4-38BB0650FCE7}"/>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C2F9A656-1E97-445B-AD62-06E3D6213151}"/>
  </w:font>
  <w:font w:name="方正小标宋简体">
    <w:panose1 w:val="02000000000000000000"/>
    <w:charset w:val="86"/>
    <w:family w:val="auto"/>
    <w:pitch w:val="default"/>
    <w:sig w:usb0="00000001" w:usb1="08000000" w:usb2="00000000" w:usb3="00000000" w:csb0="00040000" w:csb1="00000000"/>
    <w:embedRegular r:id="rId4" w:fontKey="{8C974F2B-2E20-40FD-ADC4-FCE51CC5F277}"/>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B603E17"/>
    <w:rsid w:val="11672464"/>
    <w:rsid w:val="12853ED2"/>
    <w:rsid w:val="134768DF"/>
    <w:rsid w:val="14224BF0"/>
    <w:rsid w:val="161B669A"/>
    <w:rsid w:val="176F311A"/>
    <w:rsid w:val="192B21B3"/>
    <w:rsid w:val="19D94CAA"/>
    <w:rsid w:val="19E5114C"/>
    <w:rsid w:val="20C31381"/>
    <w:rsid w:val="241724D8"/>
    <w:rsid w:val="263113E7"/>
    <w:rsid w:val="26FB52ED"/>
    <w:rsid w:val="278C741F"/>
    <w:rsid w:val="2BE21A2F"/>
    <w:rsid w:val="300C3A87"/>
    <w:rsid w:val="31FB19F3"/>
    <w:rsid w:val="34086058"/>
    <w:rsid w:val="360C0D29"/>
    <w:rsid w:val="361719C1"/>
    <w:rsid w:val="36545584"/>
    <w:rsid w:val="37512F06"/>
    <w:rsid w:val="3B52750D"/>
    <w:rsid w:val="3D320538"/>
    <w:rsid w:val="3E1A1FCA"/>
    <w:rsid w:val="3EE42ED1"/>
    <w:rsid w:val="40B62ABF"/>
    <w:rsid w:val="43D80434"/>
    <w:rsid w:val="47044A64"/>
    <w:rsid w:val="499910CF"/>
    <w:rsid w:val="4BFA3450"/>
    <w:rsid w:val="4E847B7E"/>
    <w:rsid w:val="4F59011B"/>
    <w:rsid w:val="50CA2BBB"/>
    <w:rsid w:val="520A31DD"/>
    <w:rsid w:val="557038BD"/>
    <w:rsid w:val="55F67FAE"/>
    <w:rsid w:val="57752E80"/>
    <w:rsid w:val="57C16B81"/>
    <w:rsid w:val="59E051FD"/>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1494FDF"/>
    <w:rsid w:val="72862412"/>
    <w:rsid w:val="732E26DE"/>
    <w:rsid w:val="769B58D2"/>
    <w:rsid w:val="77FB787A"/>
    <w:rsid w:val="78185787"/>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589</Words>
  <Characters>633</Characters>
  <Lines>0</Lines>
  <Paragraphs>0</Paragraphs>
  <TotalTime>0</TotalTime>
  <ScaleCrop>false</ScaleCrop>
  <LinksUpToDate>false</LinksUpToDate>
  <CharactersWithSpaces>639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2024-12-25T04:35:00Z</cp:lastPrinted>
  <dcterms:modified xsi:type="dcterms:W3CDTF">2025-01-20T08:38:10Z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eyJoZGlkIjoiMWQ4M2Y5YjAyZjQ3YzYyMjcwNzQ3ZWNlNTYzNWVkNGEiLCJ1c2VySWQiOiIxMjAzMTc2NTQwIn0=</vt:lpwstr>
  </property>
</Properties>
</file>