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CF32D2">
      <w:pPr>
        <w:keepNext w:val="0"/>
        <w:keepLines w:val="0"/>
        <w:pageBreakBefore w:val="0"/>
        <w:widowControl w:val="0"/>
        <w:shd w:val="clear" w:color="auto" w:fill="auto"/>
        <w:kinsoku/>
        <w:wordWrap/>
        <w:overflowPunct/>
        <w:topLinePunct w:val="0"/>
        <w:autoSpaceDE/>
        <w:autoSpaceDN/>
        <w:bidi w:val="0"/>
        <w:adjustRightInd/>
        <w:snapToGrid/>
        <w:spacing w:after="0" w:line="576"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w:t>
      </w:r>
    </w:p>
    <w:p w14:paraId="04567CC1">
      <w:pPr>
        <w:keepNext w:val="0"/>
        <w:keepLines w:val="0"/>
        <w:pageBreakBefore w:val="0"/>
        <w:widowControl w:val="0"/>
        <w:shd w:val="clear" w:color="auto" w:fill="auto"/>
        <w:kinsoku/>
        <w:wordWrap/>
        <w:overflowPunct/>
        <w:topLinePunct w:val="0"/>
        <w:autoSpaceDE/>
        <w:autoSpaceDN/>
        <w:bidi w:val="0"/>
        <w:adjustRightInd/>
        <w:snapToGrid/>
        <w:spacing w:after="0" w:line="576"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097F5A78">
      <w:pPr>
        <w:keepNext w:val="0"/>
        <w:keepLines w:val="0"/>
        <w:pageBreakBefore w:val="0"/>
        <w:widowControl w:val="0"/>
        <w:numPr>
          <w:ilvl w:val="0"/>
          <w:numId w:val="0"/>
        </w:numPr>
        <w:kinsoku/>
        <w:wordWrap/>
        <w:overflowPunct/>
        <w:topLinePunct w:val="0"/>
        <w:autoSpaceDE/>
        <w:autoSpaceDN/>
        <w:bidi w:val="0"/>
        <w:adjustRightInd/>
        <w:snapToGrid/>
        <w:spacing w:after="0" w:line="576"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28A6F867">
      <w:pPr>
        <w:keepNext w:val="0"/>
        <w:keepLines w:val="0"/>
        <w:pageBreakBefore w:val="0"/>
        <w:widowControl w:val="0"/>
        <w:numPr>
          <w:ilvl w:val="0"/>
          <w:numId w:val="0"/>
        </w:numPr>
        <w:kinsoku/>
        <w:wordWrap/>
        <w:overflowPunct/>
        <w:topLinePunct w:val="0"/>
        <w:autoSpaceDE/>
        <w:autoSpaceDN/>
        <w:bidi w:val="0"/>
        <w:adjustRightInd/>
        <w:snapToGrid/>
        <w:spacing w:after="0" w:line="57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w:t>
      </w:r>
      <w:r>
        <w:rPr>
          <w:rFonts w:hint="eastAsia" w:ascii="仿宋" w:hAnsi="仿宋" w:eastAsia="仿宋" w:cs="仿宋"/>
          <w:sz w:val="32"/>
          <w:szCs w:val="32"/>
          <w:lang w:val="en-US" w:eastAsia="zh-CN"/>
        </w:rPr>
        <w:t>四川江油画屏尚景景区管理有限责任公司</w:t>
      </w:r>
      <w:r>
        <w:rPr>
          <w:rFonts w:hint="eastAsia" w:ascii="仿宋" w:hAnsi="仿宋" w:eastAsia="仿宋" w:cs="仿宋"/>
          <w:b w:val="0"/>
          <w:bCs w:val="0"/>
          <w:sz w:val="32"/>
          <w:szCs w:val="32"/>
          <w:u w:val="none" w:color="auto"/>
          <w:lang w:val="en-US" w:eastAsia="zh-CN"/>
        </w:rPr>
        <w:t>旗下窦圌山原十王殿平台提供加固、改建服务</w:t>
      </w:r>
      <w:r>
        <w:rPr>
          <w:rFonts w:hint="eastAsia" w:ascii="仿宋" w:hAnsi="仿宋" w:eastAsia="仿宋" w:cs="仿宋"/>
          <w:b w:val="0"/>
          <w:bCs w:val="0"/>
          <w:sz w:val="32"/>
          <w:szCs w:val="32"/>
          <w:u w:val="none" w:color="auto"/>
          <w:lang w:eastAsia="zh-CN"/>
        </w:rPr>
        <w:t>。</w:t>
      </w:r>
    </w:p>
    <w:p w14:paraId="3CCA2B67">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after="0" w:line="576"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237328A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line="576" w:lineRule="exact"/>
        <w:ind w:right="0" w:righ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1.将平台重新平整开挖回填浇筑混凝土达到平整一致，在防止出现安全事故的同时增加美观度。</w:t>
      </w:r>
    </w:p>
    <w:p w14:paraId="0786BEF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line="576" w:lineRule="exact"/>
        <w:ind w:right="0" w:righ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2.新建浆砌条石挡墙，恢复300mm*600mm青石板地面，平台下方增加支撑点加固以防止继续塌陷，并修补加宽梯步。</w:t>
      </w:r>
    </w:p>
    <w:p w14:paraId="062A121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line="576" w:lineRule="exact"/>
        <w:ind w:right="0" w:righ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3.平台两侧增加混凝土栏杆，栏板刷丙烯酸漆及山水描绘。</w:t>
      </w:r>
    </w:p>
    <w:p w14:paraId="32A3659A">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after="0" w:line="576"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594D7EF2">
      <w:pPr>
        <w:keepNext w:val="0"/>
        <w:keepLines w:val="0"/>
        <w:pageBreakBefore w:val="0"/>
        <w:widowControl w:val="0"/>
        <w:numPr>
          <w:ilvl w:val="0"/>
          <w:numId w:val="0"/>
        </w:numPr>
        <w:kinsoku/>
        <w:wordWrap/>
        <w:overflowPunct/>
        <w:topLinePunct w:val="0"/>
        <w:autoSpaceDE/>
        <w:autoSpaceDN/>
        <w:bidi w:val="0"/>
        <w:adjustRightInd/>
        <w:snapToGrid/>
        <w:spacing w:after="0" w:line="576"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14:paraId="33EFC2EB">
      <w:pPr>
        <w:pStyle w:val="2"/>
        <w:keepNext w:val="0"/>
        <w:keepLines w:val="0"/>
        <w:pageBreakBefore w:val="0"/>
        <w:widowControl w:val="0"/>
        <w:kinsoku/>
        <w:wordWrap/>
        <w:overflowPunct/>
        <w:topLinePunct w:val="0"/>
        <w:autoSpaceDE/>
        <w:autoSpaceDN/>
        <w:bidi w:val="0"/>
        <w:spacing w:after="0" w:line="576" w:lineRule="exact"/>
        <w:ind w:left="0" w:lef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14:paraId="347DB2B0">
      <w:pP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67A5DB6E">
      <w:pPr>
        <w:pStyle w:val="2"/>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71C43355">
      <w:pP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3E293D75">
      <w:pPr>
        <w:pStyle w:val="2"/>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3CDE2895">
      <w:pP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26363030">
      <w:pPr>
        <w:pStyle w:val="2"/>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53D6A80D">
      <w:pPr>
        <w:rPr>
          <w:rFonts w:hint="eastAsia"/>
          <w:lang w:val="en-US" w:eastAsia="zh-CN"/>
        </w:rPr>
      </w:pPr>
    </w:p>
    <w:p w14:paraId="5C0BF671">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after="0" w:line="576"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商务要求</w:t>
      </w:r>
    </w:p>
    <w:tbl>
      <w:tblPr>
        <w:tblStyle w:val="5"/>
        <w:tblW w:w="9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3386"/>
        <w:gridCol w:w="5191"/>
      </w:tblGrid>
      <w:tr w14:paraId="0ED9C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15" w:type="dxa"/>
            <w:noWrap w:val="0"/>
            <w:vAlign w:val="center"/>
          </w:tcPr>
          <w:p w14:paraId="262A0000">
            <w:pPr>
              <w:keepNext w:val="0"/>
              <w:keepLines w:val="0"/>
              <w:pageBreakBefore w:val="0"/>
              <w:widowControl w:val="0"/>
              <w:kinsoku/>
              <w:wordWrap/>
              <w:overflowPunct/>
              <w:topLinePunct w:val="0"/>
              <w:autoSpaceDE/>
              <w:autoSpaceDN/>
              <w:bidi w:val="0"/>
              <w:adjustRightInd w:val="0"/>
              <w:spacing w:after="0" w:line="576" w:lineRule="exact"/>
              <w:jc w:val="center"/>
              <w:textAlignment w:val="auto"/>
              <w:rPr>
                <w:rFonts w:ascii="宋体" w:hAnsi="宋体"/>
                <w:b/>
                <w:bCs/>
                <w:spacing w:val="8"/>
                <w:sz w:val="24"/>
              </w:rPr>
            </w:pPr>
            <w:r>
              <w:rPr>
                <w:rFonts w:hint="eastAsia" w:ascii="宋体" w:hAnsi="宋体"/>
                <w:b/>
                <w:bCs/>
                <w:spacing w:val="8"/>
                <w:sz w:val="24"/>
              </w:rPr>
              <w:t>序号</w:t>
            </w:r>
          </w:p>
        </w:tc>
        <w:tc>
          <w:tcPr>
            <w:tcW w:w="3386" w:type="dxa"/>
            <w:noWrap w:val="0"/>
            <w:vAlign w:val="center"/>
          </w:tcPr>
          <w:p w14:paraId="6AF15056">
            <w:pPr>
              <w:keepNext w:val="0"/>
              <w:keepLines w:val="0"/>
              <w:pageBreakBefore w:val="0"/>
              <w:widowControl w:val="0"/>
              <w:kinsoku/>
              <w:wordWrap/>
              <w:overflowPunct/>
              <w:topLinePunct w:val="0"/>
              <w:autoSpaceDE/>
              <w:autoSpaceDN/>
              <w:bidi w:val="0"/>
              <w:adjustRightInd w:val="0"/>
              <w:spacing w:after="0" w:line="576" w:lineRule="exact"/>
              <w:jc w:val="center"/>
              <w:textAlignment w:val="auto"/>
              <w:rPr>
                <w:rFonts w:ascii="宋体" w:hAnsi="宋体"/>
                <w:b/>
                <w:bCs/>
                <w:spacing w:val="8"/>
                <w:sz w:val="24"/>
              </w:rPr>
            </w:pPr>
            <w:r>
              <w:rPr>
                <w:rFonts w:hint="eastAsia" w:ascii="宋体" w:hAnsi="宋体"/>
                <w:b/>
                <w:bCs/>
                <w:spacing w:val="8"/>
                <w:sz w:val="24"/>
              </w:rPr>
              <w:t>内容</w:t>
            </w:r>
          </w:p>
        </w:tc>
        <w:tc>
          <w:tcPr>
            <w:tcW w:w="5191" w:type="dxa"/>
            <w:noWrap w:val="0"/>
            <w:vAlign w:val="center"/>
          </w:tcPr>
          <w:p w14:paraId="14466255">
            <w:pPr>
              <w:keepNext w:val="0"/>
              <w:keepLines w:val="0"/>
              <w:pageBreakBefore w:val="0"/>
              <w:widowControl w:val="0"/>
              <w:kinsoku/>
              <w:wordWrap/>
              <w:overflowPunct/>
              <w:topLinePunct w:val="0"/>
              <w:autoSpaceDE/>
              <w:autoSpaceDN/>
              <w:bidi w:val="0"/>
              <w:adjustRightInd w:val="0"/>
              <w:spacing w:after="0" w:line="576" w:lineRule="exact"/>
              <w:jc w:val="center"/>
              <w:textAlignment w:val="auto"/>
              <w:rPr>
                <w:rFonts w:ascii="宋体" w:hAnsi="宋体"/>
                <w:b/>
                <w:bCs/>
                <w:spacing w:val="8"/>
                <w:sz w:val="24"/>
              </w:rPr>
            </w:pPr>
            <w:r>
              <w:rPr>
                <w:rFonts w:hint="eastAsia" w:ascii="宋体" w:hAnsi="宋体"/>
                <w:b/>
                <w:bCs/>
                <w:spacing w:val="8"/>
                <w:sz w:val="24"/>
              </w:rPr>
              <w:t>招标/采购要求</w:t>
            </w:r>
          </w:p>
        </w:tc>
      </w:tr>
      <w:tr w14:paraId="7E8B8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915" w:type="dxa"/>
            <w:noWrap w:val="0"/>
            <w:vAlign w:val="center"/>
          </w:tcPr>
          <w:p w14:paraId="3AB9DF15">
            <w:pPr>
              <w:keepNext w:val="0"/>
              <w:keepLines w:val="0"/>
              <w:pageBreakBefore w:val="0"/>
              <w:widowControl w:val="0"/>
              <w:kinsoku/>
              <w:wordWrap/>
              <w:overflowPunct/>
              <w:topLinePunct w:val="0"/>
              <w:autoSpaceDE/>
              <w:autoSpaceDN/>
              <w:bidi w:val="0"/>
              <w:adjustRightInd w:val="0"/>
              <w:spacing w:after="0" w:line="576" w:lineRule="exact"/>
              <w:jc w:val="center"/>
              <w:textAlignment w:val="auto"/>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1</w:t>
            </w:r>
          </w:p>
        </w:tc>
        <w:tc>
          <w:tcPr>
            <w:tcW w:w="3386" w:type="dxa"/>
            <w:noWrap w:val="0"/>
            <w:vAlign w:val="center"/>
          </w:tcPr>
          <w:p w14:paraId="3B6A31E3">
            <w:pPr>
              <w:keepNext w:val="0"/>
              <w:keepLines w:val="0"/>
              <w:pageBreakBefore w:val="0"/>
              <w:widowControl w:val="0"/>
              <w:kinsoku/>
              <w:wordWrap/>
              <w:overflowPunct/>
              <w:topLinePunct w:val="0"/>
              <w:autoSpaceDE/>
              <w:autoSpaceDN/>
              <w:bidi w:val="0"/>
              <w:adjustRightInd w:val="0"/>
              <w:spacing w:after="0" w:line="576" w:lineRule="exact"/>
              <w:textAlignment w:val="auto"/>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交货时间/工期要求</w:t>
            </w:r>
          </w:p>
        </w:tc>
        <w:tc>
          <w:tcPr>
            <w:tcW w:w="5191" w:type="dxa"/>
            <w:noWrap w:val="0"/>
            <w:vAlign w:val="top"/>
          </w:tcPr>
          <w:p w14:paraId="264AA65F">
            <w:pPr>
              <w:keepNext w:val="0"/>
              <w:keepLines w:val="0"/>
              <w:pageBreakBefore w:val="0"/>
              <w:widowControl w:val="0"/>
              <w:shd w:val="clear" w:color="auto" w:fill="auto"/>
              <w:kinsoku/>
              <w:wordWrap/>
              <w:overflowPunct/>
              <w:topLinePunct w:val="0"/>
              <w:autoSpaceDE/>
              <w:autoSpaceDN/>
              <w:bidi w:val="0"/>
              <w:adjustRightInd w:val="0"/>
              <w:spacing w:after="0" w:line="576" w:lineRule="exact"/>
              <w:textAlignment w:val="auto"/>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合同签订后</w:t>
            </w:r>
            <w:r>
              <w:rPr>
                <w:rFonts w:hint="eastAsia" w:asciiTheme="majorEastAsia" w:hAnsiTheme="majorEastAsia" w:eastAsiaTheme="majorEastAsia" w:cstheme="majorEastAsia"/>
                <w:kern w:val="0"/>
                <w:sz w:val="32"/>
                <w:szCs w:val="32"/>
                <w:lang w:val="en-US" w:eastAsia="zh-CN"/>
              </w:rPr>
              <w:t>60</w:t>
            </w:r>
            <w:r>
              <w:rPr>
                <w:rFonts w:hint="eastAsia" w:ascii="仿宋_GB2312" w:hAnsi="仿宋_GB2312" w:eastAsia="仿宋_GB2312" w:cs="仿宋_GB2312"/>
                <w:kern w:val="0"/>
                <w:sz w:val="32"/>
                <w:szCs w:val="32"/>
                <w:lang w:val="en-US" w:eastAsia="zh-CN"/>
              </w:rPr>
              <w:t>天</w:t>
            </w:r>
            <w:r>
              <w:rPr>
                <w:rFonts w:hint="eastAsia" w:ascii="仿宋_GB2312" w:hAnsi="仿宋_GB2312" w:eastAsia="仿宋_GB2312" w:cs="仿宋_GB2312"/>
                <w:kern w:val="0"/>
                <w:sz w:val="32"/>
                <w:szCs w:val="32"/>
                <w:lang w:val="zh-CN" w:eastAsia="zh-CN"/>
              </w:rPr>
              <w:t>交付使用</w:t>
            </w:r>
          </w:p>
        </w:tc>
      </w:tr>
      <w:tr w14:paraId="4D2DE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915" w:type="dxa"/>
            <w:noWrap w:val="0"/>
            <w:vAlign w:val="center"/>
          </w:tcPr>
          <w:p w14:paraId="06062A50">
            <w:pPr>
              <w:keepNext w:val="0"/>
              <w:keepLines w:val="0"/>
              <w:pageBreakBefore w:val="0"/>
              <w:widowControl w:val="0"/>
              <w:kinsoku/>
              <w:wordWrap/>
              <w:overflowPunct/>
              <w:topLinePunct w:val="0"/>
              <w:autoSpaceDE/>
              <w:autoSpaceDN/>
              <w:bidi w:val="0"/>
              <w:adjustRightInd w:val="0"/>
              <w:spacing w:after="0" w:line="576" w:lineRule="exact"/>
              <w:jc w:val="center"/>
              <w:textAlignment w:val="auto"/>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2</w:t>
            </w:r>
          </w:p>
        </w:tc>
        <w:tc>
          <w:tcPr>
            <w:tcW w:w="3386" w:type="dxa"/>
            <w:noWrap w:val="0"/>
            <w:vAlign w:val="center"/>
          </w:tcPr>
          <w:p w14:paraId="11A3D0E5">
            <w:pPr>
              <w:keepNext w:val="0"/>
              <w:keepLines w:val="0"/>
              <w:pageBreakBefore w:val="0"/>
              <w:widowControl w:val="0"/>
              <w:kinsoku/>
              <w:wordWrap/>
              <w:overflowPunct/>
              <w:topLinePunct w:val="0"/>
              <w:autoSpaceDE/>
              <w:autoSpaceDN/>
              <w:bidi w:val="0"/>
              <w:adjustRightInd w:val="0"/>
              <w:spacing w:after="0" w:line="576" w:lineRule="exact"/>
              <w:textAlignment w:val="auto"/>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实施</w:t>
            </w:r>
            <w:r>
              <w:rPr>
                <w:rFonts w:hint="eastAsia" w:ascii="仿宋_GB2312" w:hAnsi="仿宋_GB2312" w:eastAsia="仿宋_GB2312" w:cs="仿宋_GB2312"/>
                <w:kern w:val="0"/>
                <w:sz w:val="32"/>
                <w:szCs w:val="32"/>
                <w:lang w:val="zh-CN"/>
              </w:rPr>
              <w:t>地点</w:t>
            </w:r>
          </w:p>
        </w:tc>
        <w:tc>
          <w:tcPr>
            <w:tcW w:w="5191" w:type="dxa"/>
            <w:noWrap w:val="0"/>
            <w:vAlign w:val="top"/>
          </w:tcPr>
          <w:p w14:paraId="264F7D8F">
            <w:pPr>
              <w:keepNext w:val="0"/>
              <w:keepLines w:val="0"/>
              <w:pageBreakBefore w:val="0"/>
              <w:widowControl w:val="0"/>
              <w:shd w:val="clear" w:color="auto" w:fill="auto"/>
              <w:kinsoku/>
              <w:wordWrap/>
              <w:overflowPunct/>
              <w:topLinePunct w:val="0"/>
              <w:autoSpaceDE/>
              <w:autoSpaceDN/>
              <w:bidi w:val="0"/>
              <w:adjustRightInd w:val="0"/>
              <w:spacing w:after="0" w:line="576" w:lineRule="exact"/>
              <w:textAlignment w:val="auto"/>
              <w:rPr>
                <w:rFonts w:hint="eastAsia" w:ascii="仿宋_GB2312" w:hAnsi="仿宋_GB2312" w:eastAsia="仿宋_GB2312" w:cs="仿宋_GB2312"/>
                <w:kern w:val="0"/>
                <w:sz w:val="32"/>
                <w:szCs w:val="32"/>
                <w:lang w:val="en-US" w:eastAsia="zh-CN"/>
              </w:rPr>
            </w:pPr>
          </w:p>
          <w:p w14:paraId="5F7862EB">
            <w:pPr>
              <w:keepNext w:val="0"/>
              <w:keepLines w:val="0"/>
              <w:pageBreakBefore w:val="0"/>
              <w:widowControl w:val="0"/>
              <w:shd w:val="clear" w:color="auto" w:fill="auto"/>
              <w:kinsoku/>
              <w:wordWrap/>
              <w:overflowPunct/>
              <w:topLinePunct w:val="0"/>
              <w:autoSpaceDE/>
              <w:autoSpaceDN/>
              <w:bidi w:val="0"/>
              <w:adjustRightInd w:val="0"/>
              <w:spacing w:after="0" w:line="576" w:lineRule="exact"/>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江油市窦圌山景区</w:t>
            </w:r>
            <w:r>
              <w:rPr>
                <w:rFonts w:hint="eastAsia" w:ascii="仿宋" w:hAnsi="仿宋" w:eastAsia="仿宋" w:cs="仿宋"/>
                <w:b w:val="0"/>
                <w:bCs w:val="0"/>
                <w:sz w:val="32"/>
                <w:szCs w:val="32"/>
                <w:u w:val="none" w:color="auto"/>
                <w:lang w:val="en-US" w:eastAsia="zh-CN"/>
              </w:rPr>
              <w:t>十王殿平台</w:t>
            </w:r>
          </w:p>
        </w:tc>
      </w:tr>
      <w:tr w14:paraId="11FC4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915" w:type="dxa"/>
            <w:noWrap w:val="0"/>
            <w:vAlign w:val="center"/>
          </w:tcPr>
          <w:p w14:paraId="3F32A4A7">
            <w:pPr>
              <w:keepNext w:val="0"/>
              <w:keepLines w:val="0"/>
              <w:pageBreakBefore w:val="0"/>
              <w:widowControl w:val="0"/>
              <w:kinsoku/>
              <w:wordWrap/>
              <w:overflowPunct/>
              <w:topLinePunct w:val="0"/>
              <w:autoSpaceDE/>
              <w:autoSpaceDN/>
              <w:bidi w:val="0"/>
              <w:adjustRightInd w:val="0"/>
              <w:spacing w:after="0" w:line="576" w:lineRule="exact"/>
              <w:jc w:val="center"/>
              <w:textAlignment w:val="auto"/>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3</w:t>
            </w:r>
          </w:p>
        </w:tc>
        <w:tc>
          <w:tcPr>
            <w:tcW w:w="3386" w:type="dxa"/>
            <w:noWrap w:val="0"/>
            <w:vAlign w:val="center"/>
          </w:tcPr>
          <w:p w14:paraId="07D5BF3D">
            <w:pPr>
              <w:keepNext w:val="0"/>
              <w:keepLines w:val="0"/>
              <w:pageBreakBefore w:val="0"/>
              <w:widowControl w:val="0"/>
              <w:kinsoku/>
              <w:wordWrap/>
              <w:overflowPunct/>
              <w:topLinePunct w:val="0"/>
              <w:autoSpaceDE/>
              <w:autoSpaceDN/>
              <w:bidi w:val="0"/>
              <w:adjustRightInd w:val="0"/>
              <w:spacing w:after="0" w:line="576" w:lineRule="exact"/>
              <w:textAlignment w:val="auto"/>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验收要求</w:t>
            </w:r>
          </w:p>
        </w:tc>
        <w:tc>
          <w:tcPr>
            <w:tcW w:w="5191" w:type="dxa"/>
            <w:noWrap w:val="0"/>
            <w:vAlign w:val="top"/>
          </w:tcPr>
          <w:p w14:paraId="21FD1A90">
            <w:pPr>
              <w:keepNext w:val="0"/>
              <w:keepLines w:val="0"/>
              <w:pageBreakBefore w:val="0"/>
              <w:widowControl w:val="0"/>
              <w:shd w:val="clear" w:color="auto" w:fill="auto"/>
              <w:kinsoku/>
              <w:wordWrap/>
              <w:overflowPunct/>
              <w:topLinePunct w:val="0"/>
              <w:autoSpaceDE/>
              <w:autoSpaceDN/>
              <w:bidi w:val="0"/>
              <w:adjustRightInd w:val="0"/>
              <w:spacing w:after="0" w:line="576" w:lineRule="exact"/>
              <w:textAlignment w:val="auto"/>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按照</w:t>
            </w:r>
            <w:r>
              <w:rPr>
                <w:rFonts w:hint="eastAsia" w:ascii="仿宋_GB2312" w:hAnsi="仿宋_GB2312" w:eastAsia="仿宋_GB2312" w:cs="仿宋_GB2312"/>
                <w:kern w:val="0"/>
                <w:sz w:val="32"/>
                <w:szCs w:val="32"/>
                <w:lang w:val="en-US" w:eastAsia="zh-CN"/>
              </w:rPr>
              <w:t>本项目施工图纸及相关</w:t>
            </w:r>
            <w:r>
              <w:rPr>
                <w:rFonts w:hint="eastAsia" w:ascii="仿宋_GB2312" w:hAnsi="仿宋_GB2312" w:eastAsia="仿宋_GB2312" w:cs="仿宋_GB2312"/>
                <w:kern w:val="0"/>
                <w:sz w:val="32"/>
                <w:szCs w:val="32"/>
                <w:lang w:val="zh-CN" w:eastAsia="zh-CN"/>
              </w:rPr>
              <w:t>技术参数要求</w:t>
            </w:r>
            <w:r>
              <w:rPr>
                <w:rFonts w:hint="eastAsia" w:ascii="仿宋_GB2312" w:hAnsi="仿宋_GB2312" w:eastAsia="仿宋_GB2312" w:cs="仿宋_GB2312"/>
                <w:kern w:val="0"/>
                <w:sz w:val="32"/>
                <w:szCs w:val="32"/>
                <w:lang w:val="en-US" w:eastAsia="zh-CN"/>
              </w:rPr>
              <w:t>进行</w:t>
            </w:r>
            <w:r>
              <w:rPr>
                <w:rFonts w:hint="eastAsia" w:ascii="仿宋_GB2312" w:hAnsi="仿宋_GB2312" w:eastAsia="仿宋_GB2312" w:cs="仿宋_GB2312"/>
                <w:kern w:val="0"/>
                <w:sz w:val="32"/>
                <w:szCs w:val="32"/>
                <w:lang w:val="zh-CN" w:eastAsia="zh-CN"/>
              </w:rPr>
              <w:t>验收。</w:t>
            </w:r>
          </w:p>
        </w:tc>
      </w:tr>
      <w:tr w14:paraId="5F283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915" w:type="dxa"/>
            <w:noWrap w:val="0"/>
            <w:vAlign w:val="center"/>
          </w:tcPr>
          <w:p w14:paraId="0785203E">
            <w:pPr>
              <w:keepNext w:val="0"/>
              <w:keepLines w:val="0"/>
              <w:pageBreakBefore w:val="0"/>
              <w:widowControl w:val="0"/>
              <w:kinsoku/>
              <w:wordWrap/>
              <w:overflowPunct/>
              <w:topLinePunct w:val="0"/>
              <w:autoSpaceDE/>
              <w:autoSpaceDN/>
              <w:bidi w:val="0"/>
              <w:adjustRightInd w:val="0"/>
              <w:spacing w:after="0" w:line="576" w:lineRule="exact"/>
              <w:jc w:val="center"/>
              <w:textAlignment w:val="auto"/>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4</w:t>
            </w:r>
          </w:p>
        </w:tc>
        <w:tc>
          <w:tcPr>
            <w:tcW w:w="3386" w:type="dxa"/>
            <w:noWrap w:val="0"/>
            <w:vAlign w:val="center"/>
          </w:tcPr>
          <w:p w14:paraId="3866E133">
            <w:pPr>
              <w:keepNext w:val="0"/>
              <w:keepLines w:val="0"/>
              <w:pageBreakBefore w:val="0"/>
              <w:widowControl w:val="0"/>
              <w:kinsoku/>
              <w:wordWrap/>
              <w:overflowPunct/>
              <w:topLinePunct w:val="0"/>
              <w:autoSpaceDE/>
              <w:autoSpaceDN/>
              <w:bidi w:val="0"/>
              <w:adjustRightInd w:val="0"/>
              <w:spacing w:after="0" w:line="576" w:lineRule="exact"/>
              <w:textAlignment w:val="auto"/>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款项支付方式、进度</w:t>
            </w:r>
          </w:p>
        </w:tc>
        <w:tc>
          <w:tcPr>
            <w:tcW w:w="5191" w:type="dxa"/>
            <w:noWrap w:val="0"/>
            <w:vAlign w:val="top"/>
          </w:tcPr>
          <w:p w14:paraId="2B5C1929">
            <w:pPr>
              <w:keepNext w:val="0"/>
              <w:keepLines w:val="0"/>
              <w:pageBreakBefore w:val="0"/>
              <w:widowControl w:val="0"/>
              <w:shd w:val="clear" w:color="auto" w:fill="auto"/>
              <w:kinsoku/>
              <w:wordWrap/>
              <w:overflowPunct/>
              <w:topLinePunct w:val="0"/>
              <w:autoSpaceDE/>
              <w:autoSpaceDN/>
              <w:bidi w:val="0"/>
              <w:adjustRightInd w:val="0"/>
              <w:spacing w:after="0" w:line="576" w:lineRule="exac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详见附件8：合同主要条款</w:t>
            </w:r>
          </w:p>
        </w:tc>
      </w:tr>
      <w:tr w14:paraId="69BA6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15" w:type="dxa"/>
            <w:noWrap w:val="0"/>
            <w:vAlign w:val="center"/>
          </w:tcPr>
          <w:p w14:paraId="4B164F53">
            <w:pPr>
              <w:keepNext w:val="0"/>
              <w:keepLines w:val="0"/>
              <w:pageBreakBefore w:val="0"/>
              <w:widowControl w:val="0"/>
              <w:shd w:val="clear" w:color="auto" w:fill="auto"/>
              <w:kinsoku/>
              <w:wordWrap/>
              <w:overflowPunct/>
              <w:topLinePunct w:val="0"/>
              <w:autoSpaceDE/>
              <w:autoSpaceDN/>
              <w:bidi w:val="0"/>
              <w:adjustRightInd w:val="0"/>
              <w:spacing w:after="0" w:line="576" w:lineRule="exact"/>
              <w:jc w:val="center"/>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w:t>
            </w:r>
          </w:p>
        </w:tc>
        <w:tc>
          <w:tcPr>
            <w:tcW w:w="3386" w:type="dxa"/>
            <w:noWrap w:val="0"/>
            <w:vAlign w:val="center"/>
          </w:tcPr>
          <w:p w14:paraId="505A5627">
            <w:pPr>
              <w:keepNext w:val="0"/>
              <w:keepLines w:val="0"/>
              <w:pageBreakBefore w:val="0"/>
              <w:widowControl w:val="0"/>
              <w:shd w:val="clear" w:color="auto" w:fill="auto"/>
              <w:kinsoku/>
              <w:wordWrap/>
              <w:overflowPunct/>
              <w:topLinePunct w:val="0"/>
              <w:autoSpaceDE/>
              <w:autoSpaceDN/>
              <w:bidi w:val="0"/>
              <w:adjustRightInd w:val="0"/>
              <w:spacing w:after="0" w:line="576" w:lineRule="exact"/>
              <w:textAlignment w:val="auto"/>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其他</w:t>
            </w:r>
          </w:p>
        </w:tc>
        <w:tc>
          <w:tcPr>
            <w:tcW w:w="5191" w:type="dxa"/>
            <w:noWrap w:val="0"/>
            <w:vAlign w:val="center"/>
          </w:tcPr>
          <w:p w14:paraId="59D2AC0D">
            <w:pPr>
              <w:keepNext w:val="0"/>
              <w:keepLines w:val="0"/>
              <w:pageBreakBefore w:val="0"/>
              <w:widowControl w:val="0"/>
              <w:shd w:val="clear" w:color="auto" w:fill="auto"/>
              <w:kinsoku/>
              <w:wordWrap/>
              <w:overflowPunct/>
              <w:topLinePunct w:val="0"/>
              <w:autoSpaceDE/>
              <w:autoSpaceDN/>
              <w:bidi w:val="0"/>
              <w:adjustRightInd w:val="0"/>
              <w:spacing w:after="0" w:line="576" w:lineRule="exact"/>
              <w:ind w:left="0" w:leftChars="0" w:right="0" w:rightChars="0" w:firstLine="0" w:firstLineChars="0"/>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无</w:t>
            </w:r>
          </w:p>
        </w:tc>
      </w:tr>
    </w:tbl>
    <w:p w14:paraId="6E77DAF5">
      <w:pPr>
        <w:rPr>
          <w:rFonts w:hint="default"/>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14:paraId="63A75E7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附件3：竞标函</w:t>
      </w:r>
    </w:p>
    <w:p w14:paraId="38B54307">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14:paraId="720337A3">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窦圌山原十王殿平台维修改造项目</w:t>
      </w:r>
    </w:p>
    <w:p w14:paraId="45103BDD">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14:paraId="1F156E3D">
      <w:pPr>
        <w:pStyle w:val="2"/>
        <w:rPr>
          <w:rFonts w:hint="eastAsia"/>
          <w:lang w:val="en-US" w:eastAsia="zh-CN"/>
        </w:rPr>
      </w:pPr>
    </w:p>
    <w:p w14:paraId="0F9F5027">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14:paraId="49A26525">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w:t>
      </w:r>
      <w:r>
        <w:rPr>
          <w:rFonts w:hint="eastAsia" w:ascii="仿宋" w:hAnsi="仿宋" w:eastAsia="仿宋" w:cs="仿宋"/>
          <w:b w:val="0"/>
          <w:bCs w:val="0"/>
          <w:sz w:val="32"/>
          <w:szCs w:val="32"/>
          <w:u w:val="none" w:color="auto"/>
          <w:lang w:val="en-US" w:eastAsia="zh-CN"/>
        </w:rPr>
        <w:t>窦圌山原十王殿平台维修改造项目</w:t>
      </w:r>
      <w:r>
        <w:rPr>
          <w:rFonts w:hint="eastAsia" w:ascii="仿宋" w:hAnsi="仿宋" w:eastAsia="仿宋" w:cs="仿宋"/>
          <w:sz w:val="32"/>
          <w:szCs w:val="32"/>
          <w:lang w:val="en-US" w:eastAsia="zh-CN"/>
        </w:rPr>
        <w:t>比选公告”，决定参加贵单位组织的本项目比选，并自觉遵守服务相关规定，遵守服务规则，维护正常的采购秩序。</w:t>
      </w:r>
    </w:p>
    <w:p w14:paraId="65BC4AA8">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我方自愿按照比选公告规定的各项要求向采购人提供所需物资及服务，提供的物资及服务等所有权及知识产权等权利无瑕疵。总报价</w:t>
      </w:r>
      <w:r>
        <w:rPr>
          <w:rFonts w:hint="eastAsia" w:ascii="仿宋" w:hAnsi="仿宋" w:eastAsia="仿宋" w:cs="仿宋"/>
          <w:sz w:val="32"/>
          <w:szCs w:val="32"/>
          <w:u w:val="none"/>
          <w:lang w:val="en-US" w:eastAsia="zh-CN"/>
        </w:rPr>
        <w:t>最高限价下浮：</w:t>
      </w:r>
      <w:r>
        <w:rPr>
          <w:rFonts w:hint="eastAsia" w:ascii="仿宋" w:hAnsi="仿宋" w:eastAsia="仿宋" w:cs="仿宋"/>
          <w:sz w:val="32"/>
          <w:szCs w:val="32"/>
          <w:u w:val="single"/>
          <w:lang w:val="en-US" w:eastAsia="zh-CN"/>
        </w:rPr>
        <w:t xml:space="preserve">         %  </w:t>
      </w:r>
    </w:p>
    <w:p w14:paraId="58AE6498">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一旦我方成交，我方将严格履行合同规定的责任和义务，保证于合同约定日期内完成项目的履约，并交付采购人验收、使用。</w:t>
      </w:r>
    </w:p>
    <w:p w14:paraId="710D84C3">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3CE746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附件：合同主要条款</w:t>
      </w:r>
    </w:p>
    <w:p w14:paraId="1413B10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3155AFB6">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4CD74B0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550F0FFF">
      <w:pPr>
        <w:pStyle w:val="3"/>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14:paraId="0F95D7F6">
      <w:pPr>
        <w:pStyle w:val="3"/>
        <w:shd w:val="clear" w:color="auto" w:fil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附件4：项目报价单</w:t>
      </w:r>
    </w:p>
    <w:p w14:paraId="1366C1ED">
      <w:pPr>
        <w:pStyle w:val="3"/>
        <w:rPr>
          <w:rFonts w:hint="default"/>
          <w:lang w:val="en-US" w:eastAsia="zh-CN"/>
        </w:rPr>
      </w:pPr>
    </w:p>
    <w:p w14:paraId="38CC4A11">
      <w:pPr>
        <w:keepNext w:val="0"/>
        <w:keepLines w:val="0"/>
        <w:pageBreakBefore w:val="0"/>
        <w:widowControl w:val="0"/>
        <w:kinsoku/>
        <w:wordWrap/>
        <w:overflowPunct/>
        <w:topLinePunct w:val="0"/>
        <w:autoSpaceDE/>
        <w:autoSpaceDN/>
        <w:bidi w:val="0"/>
        <w:adjustRightInd/>
        <w:snapToGrid/>
        <w:spacing w:before="101" w:line="576" w:lineRule="exact"/>
        <w:ind w:left="0" w:firstLine="0" w:firstLineChars="0"/>
        <w:jc w:val="center"/>
        <w:textAlignment w:val="auto"/>
        <w:outlineLvl w:val="2"/>
        <w:rPr>
          <w:rFonts w:hint="eastAsia" w:ascii="宋体" w:hAnsi="宋体" w:eastAsia="宋体" w:cs="宋体"/>
          <w:sz w:val="24"/>
          <w:szCs w:val="24"/>
          <w:u w:val="none" w:color="auto"/>
        </w:rPr>
      </w:pPr>
      <w:r>
        <w:rPr>
          <w:rFonts w:hint="eastAsia" w:hAnsi="宋体" w:eastAsia="宋体" w:cs="宋体"/>
          <w:spacing w:val="4"/>
          <w:sz w:val="24"/>
          <w:szCs w:val="24"/>
          <w:u w:val="none" w:color="auto"/>
          <w:lang w:val="en-US" w:eastAsia="zh-CN"/>
        </w:rPr>
        <w:t>项目</w:t>
      </w:r>
      <w:r>
        <w:rPr>
          <w:rFonts w:hint="eastAsia" w:ascii="宋体" w:hAnsi="宋体" w:eastAsia="宋体" w:cs="宋体"/>
          <w:spacing w:val="4"/>
          <w:sz w:val="24"/>
          <w:szCs w:val="24"/>
          <w:u w:val="none" w:color="auto"/>
        </w:rPr>
        <w:t>报价单</w:t>
      </w:r>
    </w:p>
    <w:p w14:paraId="6DB08E44">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p w14:paraId="28158D75">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tbl>
      <w:tblPr>
        <w:tblStyle w:val="10"/>
        <w:tblpPr w:leftFromText="180" w:rightFromText="180" w:vertAnchor="text" w:horzAnchor="page" w:tblpX="975" w:tblpY="35"/>
        <w:tblOverlap w:val="never"/>
        <w:tblW w:w="1018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9"/>
        <w:gridCol w:w="3820"/>
        <w:gridCol w:w="1648"/>
        <w:gridCol w:w="960"/>
        <w:gridCol w:w="3135"/>
      </w:tblGrid>
      <w:tr w14:paraId="2A04E0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619" w:type="dxa"/>
            <w:noWrap w:val="0"/>
            <w:vAlign w:val="top"/>
          </w:tcPr>
          <w:p w14:paraId="08E344A6">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z w:val="24"/>
                <w:szCs w:val="24"/>
                <w:u w:val="none" w:color="auto"/>
              </w:rPr>
            </w:pPr>
            <w:r>
              <w:rPr>
                <w:rFonts w:hint="eastAsia" w:ascii="宋体" w:hAnsi="宋体" w:eastAsia="宋体" w:cs="宋体"/>
                <w:spacing w:val="45"/>
                <w:sz w:val="24"/>
                <w:szCs w:val="24"/>
                <w:u w:val="none" w:color="auto"/>
              </w:rPr>
              <w:t>序</w:t>
            </w:r>
            <w:r>
              <w:rPr>
                <w:rFonts w:hint="eastAsia" w:ascii="宋体" w:hAnsi="宋体" w:eastAsia="宋体" w:cs="宋体"/>
                <w:spacing w:val="44"/>
                <w:sz w:val="24"/>
                <w:szCs w:val="24"/>
                <w:u w:val="none" w:color="auto"/>
              </w:rPr>
              <w:t>号</w:t>
            </w:r>
          </w:p>
        </w:tc>
        <w:tc>
          <w:tcPr>
            <w:tcW w:w="3820" w:type="dxa"/>
            <w:noWrap w:val="0"/>
            <w:vAlign w:val="top"/>
          </w:tcPr>
          <w:p w14:paraId="298D210B">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采购内容</w:t>
            </w:r>
          </w:p>
        </w:tc>
        <w:tc>
          <w:tcPr>
            <w:tcW w:w="1648" w:type="dxa"/>
            <w:noWrap w:val="0"/>
            <w:vAlign w:val="top"/>
          </w:tcPr>
          <w:p w14:paraId="35DBCF8B">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报价</w:t>
            </w:r>
          </w:p>
        </w:tc>
        <w:tc>
          <w:tcPr>
            <w:tcW w:w="960" w:type="dxa"/>
            <w:noWrap w:val="0"/>
            <w:vAlign w:val="top"/>
          </w:tcPr>
          <w:p w14:paraId="3656310B">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单位</w:t>
            </w:r>
          </w:p>
        </w:tc>
        <w:tc>
          <w:tcPr>
            <w:tcW w:w="3135" w:type="dxa"/>
            <w:noWrap w:val="0"/>
            <w:vAlign w:val="top"/>
          </w:tcPr>
          <w:p w14:paraId="07304D6C">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备注</w:t>
            </w:r>
          </w:p>
        </w:tc>
      </w:tr>
      <w:tr w14:paraId="244EC0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619" w:type="dxa"/>
            <w:noWrap w:val="0"/>
            <w:vAlign w:val="top"/>
          </w:tcPr>
          <w:p w14:paraId="5F9F6C8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3820" w:type="dxa"/>
            <w:noWrap w:val="0"/>
            <w:vAlign w:val="top"/>
          </w:tcPr>
          <w:p w14:paraId="4B1EA520">
            <w:pPr>
              <w:keepNext w:val="0"/>
              <w:keepLines w:val="0"/>
              <w:pageBreakBefore w:val="0"/>
              <w:widowControl w:val="0"/>
              <w:kinsoku/>
              <w:wordWrap/>
              <w:overflowPunct/>
              <w:topLinePunct w:val="0"/>
              <w:autoSpaceDE/>
              <w:autoSpaceDN/>
              <w:bidi w:val="0"/>
              <w:adjustRightInd/>
              <w:snapToGrid/>
              <w:spacing w:before="116" w:line="576" w:lineRule="exact"/>
              <w:ind w:left="155"/>
              <w:jc w:val="center"/>
              <w:textAlignment w:val="auto"/>
              <w:rPr>
                <w:rFonts w:hint="default" w:ascii="宋体" w:hAnsi="宋体" w:eastAsia="宋体" w:cs="宋体"/>
                <w:sz w:val="24"/>
                <w:szCs w:val="24"/>
                <w:u w:val="none" w:color="auto"/>
                <w:lang w:val="en-US" w:eastAsia="zh-CN"/>
              </w:rPr>
            </w:pPr>
            <w:r>
              <w:rPr>
                <w:rFonts w:hint="default" w:ascii="宋体" w:hAnsi="宋体" w:eastAsia="宋体" w:cs="宋体"/>
                <w:sz w:val="24"/>
                <w:szCs w:val="24"/>
                <w:u w:val="none" w:color="auto"/>
                <w:lang w:val="en-US" w:eastAsia="zh-CN"/>
              </w:rPr>
              <w:t>窦圌山原十王殿平台</w:t>
            </w:r>
            <w:r>
              <w:rPr>
                <w:rFonts w:hint="eastAsia" w:ascii="宋体" w:hAnsi="宋体" w:eastAsia="宋体" w:cs="宋体"/>
                <w:sz w:val="24"/>
                <w:szCs w:val="24"/>
                <w:u w:val="none" w:color="auto"/>
                <w:lang w:val="en-US" w:eastAsia="zh-CN"/>
              </w:rPr>
              <w:t>维修改造</w:t>
            </w:r>
            <w:r>
              <w:rPr>
                <w:rFonts w:hint="default" w:ascii="宋体" w:hAnsi="宋体" w:eastAsia="宋体" w:cs="宋体"/>
                <w:sz w:val="24"/>
                <w:szCs w:val="24"/>
                <w:u w:val="none" w:color="auto"/>
                <w:lang w:val="en-US" w:eastAsia="zh-CN"/>
              </w:rPr>
              <w:t>项目</w:t>
            </w:r>
          </w:p>
        </w:tc>
        <w:tc>
          <w:tcPr>
            <w:tcW w:w="1648" w:type="dxa"/>
            <w:noWrap w:val="0"/>
            <w:vAlign w:val="top"/>
          </w:tcPr>
          <w:p w14:paraId="7F395724">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rPr>
            </w:pPr>
          </w:p>
        </w:tc>
        <w:tc>
          <w:tcPr>
            <w:tcW w:w="960" w:type="dxa"/>
            <w:noWrap w:val="0"/>
            <w:vAlign w:val="top"/>
          </w:tcPr>
          <w:p w14:paraId="51E6A13C">
            <w:pPr>
              <w:keepNext w:val="0"/>
              <w:keepLines w:val="0"/>
              <w:pageBreakBefore w:val="0"/>
              <w:widowControl w:val="0"/>
              <w:kinsoku/>
              <w:wordWrap/>
              <w:overflowPunct/>
              <w:topLinePunct w:val="0"/>
              <w:autoSpaceDE/>
              <w:autoSpaceDN/>
              <w:bidi w:val="0"/>
              <w:adjustRightInd/>
              <w:snapToGrid/>
              <w:spacing w:before="116" w:line="576" w:lineRule="exact"/>
              <w:jc w:val="center"/>
              <w:textAlignment w:val="auto"/>
              <w:rPr>
                <w:rFonts w:hint="default"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w:t>
            </w:r>
          </w:p>
        </w:tc>
        <w:tc>
          <w:tcPr>
            <w:tcW w:w="3135" w:type="dxa"/>
            <w:noWrap w:val="0"/>
            <w:vAlign w:val="top"/>
          </w:tcPr>
          <w:p w14:paraId="5F43D339">
            <w:pPr>
              <w:keepNext w:val="0"/>
              <w:keepLines w:val="0"/>
              <w:pageBreakBefore w:val="0"/>
              <w:widowControl w:val="0"/>
              <w:kinsoku/>
              <w:wordWrap/>
              <w:overflowPunct/>
              <w:topLinePunct w:val="0"/>
              <w:autoSpaceDE/>
              <w:autoSpaceDN/>
              <w:bidi w:val="0"/>
              <w:adjustRightInd/>
              <w:snapToGrid/>
              <w:spacing w:before="116" w:line="576" w:lineRule="exact"/>
              <w:ind w:left="117"/>
              <w:textAlignment w:val="auto"/>
              <w:rPr>
                <w:rFonts w:hint="default" w:ascii="宋体" w:hAnsi="宋体" w:eastAsia="宋体" w:cs="宋体"/>
                <w:sz w:val="24"/>
                <w:szCs w:val="24"/>
                <w:u w:val="none" w:color="auto"/>
                <w:lang w:val="en-US" w:eastAsia="zh-CN"/>
              </w:rPr>
            </w:pPr>
            <w:r>
              <w:rPr>
                <w:rFonts w:hint="eastAsia" w:ascii="仿宋" w:hAnsi="仿宋" w:eastAsia="仿宋" w:cs="仿宋"/>
                <w:b w:val="0"/>
                <w:bCs w:val="0"/>
                <w:sz w:val="24"/>
                <w:szCs w:val="24"/>
                <w:u w:val="none" w:color="auto"/>
                <w:lang w:val="en-US" w:eastAsia="zh-CN"/>
              </w:rPr>
              <w:t>最高价进行百分比下浮。</w:t>
            </w:r>
          </w:p>
        </w:tc>
      </w:tr>
    </w:tbl>
    <w:p w14:paraId="746CC8E1">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lang w:val="en-US" w:eastAsia="zh-CN"/>
        </w:rPr>
      </w:pPr>
    </w:p>
    <w:p w14:paraId="781DB010">
      <w:pPr>
        <w:pStyle w:val="3"/>
        <w:rPr>
          <w:rFonts w:hint="eastAsia" w:ascii="宋体" w:hAnsi="宋体" w:eastAsia="宋体" w:cs="宋体"/>
          <w:sz w:val="24"/>
          <w:szCs w:val="24"/>
          <w:u w:val="none" w:color="auto"/>
          <w:lang w:val="en-US" w:eastAsia="zh-CN"/>
        </w:rPr>
      </w:pPr>
    </w:p>
    <w:p w14:paraId="5F3CA3C5">
      <w:pPr>
        <w:rPr>
          <w:rFonts w:hint="eastAsia" w:ascii="宋体" w:hAnsi="宋体" w:eastAsia="宋体" w:cs="宋体"/>
          <w:sz w:val="24"/>
          <w:szCs w:val="24"/>
          <w:u w:val="none" w:color="auto"/>
          <w:lang w:val="en-US" w:eastAsia="zh-CN"/>
        </w:rPr>
      </w:pPr>
    </w:p>
    <w:p w14:paraId="064DF0E1">
      <w:pPr>
        <w:pStyle w:val="3"/>
        <w:rPr>
          <w:rFonts w:hint="eastAsia" w:ascii="宋体" w:hAnsi="宋体" w:eastAsia="宋体" w:cs="宋体"/>
          <w:sz w:val="24"/>
          <w:szCs w:val="24"/>
          <w:u w:val="none" w:color="auto"/>
          <w:lang w:val="en-US" w:eastAsia="zh-CN"/>
        </w:rPr>
      </w:pPr>
    </w:p>
    <w:p w14:paraId="0291CB46">
      <w:pPr>
        <w:rPr>
          <w:rFonts w:hint="eastAsia" w:ascii="宋体" w:hAnsi="宋体" w:eastAsia="宋体" w:cs="宋体"/>
          <w:sz w:val="24"/>
          <w:szCs w:val="24"/>
          <w:u w:val="none" w:color="auto"/>
          <w:lang w:val="en-US" w:eastAsia="zh-CN"/>
        </w:rPr>
      </w:pPr>
    </w:p>
    <w:p w14:paraId="6660EB1F">
      <w:pPr>
        <w:pStyle w:val="3"/>
        <w:rPr>
          <w:rFonts w:hint="eastAsia" w:ascii="宋体" w:hAnsi="宋体" w:eastAsia="宋体" w:cs="宋体"/>
          <w:sz w:val="24"/>
          <w:szCs w:val="24"/>
          <w:u w:val="none" w:color="auto"/>
          <w:lang w:val="en-US" w:eastAsia="zh-CN"/>
        </w:rPr>
      </w:pPr>
    </w:p>
    <w:p w14:paraId="533BF7C8">
      <w:pPr>
        <w:rPr>
          <w:rFonts w:hint="eastAsia" w:ascii="宋体" w:hAnsi="宋体" w:eastAsia="宋体" w:cs="宋体"/>
          <w:sz w:val="24"/>
          <w:szCs w:val="24"/>
          <w:u w:val="none" w:color="auto"/>
          <w:lang w:val="en-US" w:eastAsia="zh-CN"/>
        </w:rPr>
      </w:pPr>
    </w:p>
    <w:p w14:paraId="0EF30899">
      <w:pPr>
        <w:pStyle w:val="3"/>
        <w:rPr>
          <w:rFonts w:hint="eastAsia" w:ascii="宋体" w:hAnsi="宋体" w:eastAsia="宋体" w:cs="宋体"/>
          <w:sz w:val="24"/>
          <w:szCs w:val="24"/>
          <w:u w:val="none" w:color="auto"/>
          <w:lang w:val="en-US" w:eastAsia="zh-CN"/>
        </w:rPr>
      </w:pPr>
    </w:p>
    <w:p w14:paraId="24296AD8">
      <w:pPr>
        <w:rPr>
          <w:rFonts w:hint="eastAsia" w:ascii="宋体" w:hAnsi="宋体" w:eastAsia="宋体" w:cs="宋体"/>
          <w:sz w:val="24"/>
          <w:szCs w:val="24"/>
          <w:u w:val="none" w:color="auto"/>
          <w:lang w:val="en-US" w:eastAsia="zh-CN"/>
        </w:rPr>
      </w:pPr>
    </w:p>
    <w:p w14:paraId="2CD1A17F">
      <w:pPr>
        <w:pStyle w:val="3"/>
        <w:rPr>
          <w:rFonts w:hint="eastAsia" w:ascii="宋体" w:hAnsi="宋体" w:eastAsia="宋体" w:cs="宋体"/>
          <w:sz w:val="24"/>
          <w:szCs w:val="24"/>
          <w:u w:val="none" w:color="auto"/>
          <w:lang w:val="en-US" w:eastAsia="zh-CN"/>
        </w:rPr>
      </w:pPr>
    </w:p>
    <w:p w14:paraId="17C9B782">
      <w:pPr>
        <w:rPr>
          <w:rFonts w:hint="eastAsia" w:ascii="宋体" w:hAnsi="宋体" w:eastAsia="宋体" w:cs="宋体"/>
          <w:sz w:val="24"/>
          <w:szCs w:val="24"/>
          <w:u w:val="none" w:color="auto"/>
          <w:lang w:val="en-US" w:eastAsia="zh-CN"/>
        </w:rPr>
      </w:pPr>
    </w:p>
    <w:p w14:paraId="51DAB56F">
      <w:pPr>
        <w:pStyle w:val="3"/>
        <w:rPr>
          <w:rFonts w:hint="eastAsia" w:ascii="宋体" w:hAnsi="宋体" w:eastAsia="宋体" w:cs="宋体"/>
          <w:sz w:val="24"/>
          <w:szCs w:val="24"/>
          <w:u w:val="none" w:color="auto"/>
          <w:lang w:val="en-US" w:eastAsia="zh-CN"/>
        </w:rPr>
      </w:pPr>
    </w:p>
    <w:p w14:paraId="24DDB058">
      <w:pPr>
        <w:rPr>
          <w:rFonts w:hint="eastAsia" w:ascii="宋体" w:hAnsi="宋体" w:eastAsia="宋体" w:cs="宋体"/>
          <w:sz w:val="24"/>
          <w:szCs w:val="24"/>
          <w:u w:val="none" w:color="auto"/>
          <w:lang w:val="en-US" w:eastAsia="zh-CN"/>
        </w:rPr>
      </w:pPr>
    </w:p>
    <w:p w14:paraId="34F725C1">
      <w:pPr>
        <w:pStyle w:val="3"/>
        <w:rPr>
          <w:rFonts w:hint="eastAsia"/>
          <w:lang w:val="en-US" w:eastAsia="zh-CN"/>
        </w:rPr>
      </w:pPr>
    </w:p>
    <w:p w14:paraId="138BF157">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报价单位：（盖章）</w:t>
      </w:r>
    </w:p>
    <w:p w14:paraId="3F631A40">
      <w:pPr>
        <w:pStyle w:val="3"/>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法定代表人或授权委托人：（签字）</w:t>
      </w:r>
    </w:p>
    <w:p w14:paraId="751CF449">
      <w:pPr>
        <w:rPr>
          <w:rFonts w:hint="default"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日期：</w:t>
      </w:r>
    </w:p>
    <w:p w14:paraId="79D6EEAD">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4665C44B">
      <w:pPr>
        <w:keepNext w:val="0"/>
        <w:keepLines w:val="0"/>
        <w:pageBreakBefore w:val="0"/>
        <w:widowControl w:val="0"/>
        <w:shd w:val="clear" w:color="auto" w:fill="auto"/>
        <w:kinsoku/>
        <w:wordWrap/>
        <w:overflowPunct/>
        <w:topLinePunct w:val="0"/>
        <w:autoSpaceDE/>
        <w:autoSpaceDN/>
        <w:bidi w:val="0"/>
        <w:adjustRightInd/>
        <w:snapToGrid/>
        <w:spacing w:before="101" w:line="576" w:lineRule="exact"/>
        <w:ind w:left="0" w:firstLine="0" w:firstLineChars="0"/>
        <w:jc w:val="both"/>
        <w:textAlignment w:val="auto"/>
        <w:outlineLvl w:val="2"/>
        <w:rPr>
          <w:rFonts w:hint="eastAsia" w:ascii="仿宋_GB2312" w:hAnsi="仿宋_GB2312" w:eastAsia="仿宋_GB2312" w:cs="仿宋_GB2312"/>
          <w:b w:val="0"/>
          <w:bCs w:val="0"/>
          <w:color w:val="auto"/>
          <w:sz w:val="32"/>
          <w:szCs w:val="32"/>
          <w:u w:val="none" w:color="auto"/>
          <w:lang w:val="en-US" w:eastAsia="zh-CN"/>
        </w:rPr>
      </w:pPr>
      <w:r>
        <w:rPr>
          <w:rFonts w:hint="eastAsia" w:ascii="仿宋_GB2312" w:hAnsi="仿宋_GB2312" w:eastAsia="仿宋_GB2312" w:cs="仿宋_GB2312"/>
          <w:b w:val="0"/>
          <w:bCs w:val="0"/>
          <w:color w:val="auto"/>
          <w:sz w:val="32"/>
          <w:szCs w:val="32"/>
          <w:u w:val="none" w:color="auto"/>
          <w:lang w:val="en-US" w:eastAsia="zh-CN"/>
        </w:rPr>
        <w:t>附件5：法定代表人身份证明</w:t>
      </w:r>
    </w:p>
    <w:p w14:paraId="6BE6D9D9">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14:paraId="1CD1266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14:paraId="64D29AE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14:paraId="586FD24A">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14:paraId="4864E632">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14:paraId="4E199D8E">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14:paraId="6A0F8C4E">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6954671B">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14:paraId="0C999BEF">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313C5E21">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14:paraId="5F12DD7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14:paraId="635CA600">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14:paraId="3AC356FC">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14:paraId="7C7A9E92">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6D0F19B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14:paraId="47A5DAC1">
      <w:pPr>
        <w:pStyle w:val="3"/>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14:paraId="63D9F62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仿宋_GB2312" w:hAnsi="仿宋_GB2312" w:eastAsia="仿宋_GB2312" w:cs="仿宋_GB2312"/>
          <w:sz w:val="32"/>
          <w:szCs w:val="32"/>
          <w:u w:val="none" w:color="auto"/>
          <w:lang w:val="en-US" w:eastAsia="zh-CN"/>
        </w:rPr>
      </w:pPr>
    </w:p>
    <w:p w14:paraId="4E1D0A08">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法定代表人身份证复印件粘贴（正面+反面）：</w:t>
      </w:r>
    </w:p>
    <w:p w14:paraId="28A601E0">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bookmarkStart w:id="0" w:name="_bookmark33"/>
      <w:bookmarkEnd w:id="0"/>
      <w:r>
        <w:rPr>
          <w:rFonts w:hint="eastAsia" w:ascii="仿宋" w:hAnsi="仿宋" w:eastAsia="仿宋" w:cs="仿宋"/>
          <w:b w:val="0"/>
          <w:bCs w:val="0"/>
          <w:color w:val="auto"/>
          <w:sz w:val="32"/>
          <w:szCs w:val="32"/>
          <w:u w:val="none" w:color="auto"/>
          <w:lang w:val="en-US" w:eastAsia="zh-CN"/>
        </w:rPr>
        <w:t>附件6：授权委托书模版</w:t>
      </w:r>
    </w:p>
    <w:p w14:paraId="0AD151BC">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4C9CCBA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四川江油画屏尚景景区管理有限责任公司：</w:t>
      </w:r>
    </w:p>
    <w:p w14:paraId="3EDD792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“窦圌山原十王殿平台维修改造项目” 项目比选活动的合法代表，以我方名义全权处理该项目有关竞标、签订合同以及执行合同等一切事宜。 </w:t>
      </w:r>
    </w:p>
    <w:p w14:paraId="02D6327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7FE1140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F9C8DC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5B5E241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E8B37C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4FD92B3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42F91A8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49CB5DC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4E6574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77D98A4A">
      <w:pPr>
        <w:keepNext w:val="0"/>
        <w:keepLines w:val="0"/>
        <w:pageBreakBefore w:val="0"/>
        <w:kinsoku/>
        <w:wordWrap/>
        <w:overflowPunct/>
        <w:topLinePunct w:val="0"/>
        <w:autoSpaceDE/>
        <w:autoSpaceDN/>
        <w:bidi w:val="0"/>
        <w:adjustRightInd/>
        <w:snapToGrid/>
        <w:spacing w:line="512" w:lineRule="exact"/>
        <w:textAlignment w:val="auto"/>
      </w:pPr>
    </w:p>
    <w:p w14:paraId="302E5297">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1E0F9D3E">
      <w:pPr>
        <w:pStyle w:val="3"/>
        <w:rPr>
          <w:rFonts w:hint="eastAsia" w:ascii="宋体" w:hAnsi="宋体" w:eastAsia="宋体" w:cs="宋体"/>
          <w:spacing w:val="17"/>
          <w:sz w:val="28"/>
          <w:szCs w:val="28"/>
          <w:u w:val="none" w:color="auto"/>
        </w:rPr>
      </w:pPr>
    </w:p>
    <w:p w14:paraId="40B021EC">
      <w:pPr>
        <w:rPr>
          <w:rFonts w:hint="eastAsia" w:ascii="宋体" w:hAnsi="宋体" w:eastAsia="宋体" w:cs="宋体"/>
          <w:spacing w:val="17"/>
          <w:sz w:val="28"/>
          <w:szCs w:val="28"/>
          <w:u w:val="none" w:color="auto"/>
        </w:rPr>
      </w:pPr>
    </w:p>
    <w:p w14:paraId="03730C38">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14:paraId="4729E490">
      <w:pPr>
        <w:keepNext w:val="0"/>
        <w:keepLines w:val="0"/>
        <w:pageBreakBefore w:val="0"/>
        <w:widowControl w:val="0"/>
        <w:kinsoku/>
        <w:wordWrap/>
        <w:overflowPunct/>
        <w:topLinePunct w:val="0"/>
        <w:autoSpaceDE/>
        <w:autoSpaceDN/>
        <w:bidi w:val="0"/>
        <w:spacing w:line="556"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窦圌山原十王殿平台维修改造项目</w:t>
      </w:r>
    </w:p>
    <w:p w14:paraId="133E4D45">
      <w:pPr>
        <w:keepNext w:val="0"/>
        <w:keepLines w:val="0"/>
        <w:pageBreakBefore w:val="0"/>
        <w:widowControl w:val="0"/>
        <w:kinsoku/>
        <w:wordWrap/>
        <w:overflowPunct/>
        <w:topLinePunct w:val="0"/>
        <w:autoSpaceDE/>
        <w:autoSpaceDN/>
        <w:bidi w:val="0"/>
        <w:spacing w:line="55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施工</w:t>
      </w:r>
      <w:r>
        <w:rPr>
          <w:rFonts w:hint="eastAsia" w:ascii="方正小标宋简体" w:hAnsi="方正小标宋简体" w:eastAsia="方正小标宋简体" w:cs="方正小标宋简体"/>
          <w:sz w:val="44"/>
          <w:szCs w:val="44"/>
        </w:rPr>
        <w:t>合同</w:t>
      </w:r>
    </w:p>
    <w:p w14:paraId="5D8696D8">
      <w:pPr>
        <w:pStyle w:val="2"/>
        <w:keepNext w:val="0"/>
        <w:keepLines w:val="0"/>
        <w:pageBreakBefore w:val="0"/>
        <w:widowControl w:val="0"/>
        <w:kinsoku/>
        <w:wordWrap/>
        <w:overflowPunct/>
        <w:topLinePunct w:val="0"/>
        <w:autoSpaceDE/>
        <w:autoSpaceDN/>
        <w:bidi w:val="0"/>
        <w:spacing w:after="0" w:line="556" w:lineRule="exact"/>
        <w:textAlignment w:val="auto"/>
        <w:rPr>
          <w:rFonts w:hint="eastAsia"/>
        </w:rPr>
      </w:pPr>
    </w:p>
    <w:p w14:paraId="2E4D52DD">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eastAsia="zh-CN"/>
        </w:rPr>
        <w:t>四川江油画屏尚景景区管理有限责任公司</w:t>
      </w:r>
    </w:p>
    <w:p w14:paraId="4D37B5A3">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地址：江油太平镇桃园路</w:t>
      </w:r>
      <w:r>
        <w:rPr>
          <w:rFonts w:hint="eastAsia" w:asciiTheme="majorEastAsia" w:hAnsiTheme="majorEastAsia" w:eastAsiaTheme="majorEastAsia" w:cstheme="majorEastAsia"/>
          <w:sz w:val="32"/>
          <w:szCs w:val="32"/>
          <w:lang w:val="en-US" w:eastAsia="zh-CN"/>
        </w:rPr>
        <w:t>576</w:t>
      </w:r>
      <w:r>
        <w:rPr>
          <w:rFonts w:hint="eastAsia" w:ascii="仿宋_GB2312" w:hAnsi="仿宋_GB2312" w:eastAsia="仿宋_GB2312" w:cs="仿宋_GB2312"/>
          <w:sz w:val="32"/>
          <w:szCs w:val="32"/>
          <w:lang w:val="en-US" w:eastAsia="zh-CN"/>
        </w:rPr>
        <w:t>号</w:t>
      </w:r>
    </w:p>
    <w:p w14:paraId="5860650A">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w:t>
      </w:r>
      <w:r>
        <w:rPr>
          <w:rFonts w:hint="eastAsia" w:asciiTheme="majorEastAsia" w:hAnsiTheme="majorEastAsia" w:eastAsiaTheme="majorEastAsia" w:cstheme="majorEastAsia"/>
          <w:sz w:val="32"/>
          <w:szCs w:val="32"/>
          <w:lang w:val="en-US" w:eastAsia="zh-CN"/>
        </w:rPr>
        <w:t>0816-3879666</w:t>
      </w:r>
    </w:p>
    <w:p w14:paraId="319AE32E">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w:t>
      </w:r>
    </w:p>
    <w:p w14:paraId="27FE53A3">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w:t>
      </w:r>
    </w:p>
    <w:p w14:paraId="18E8A7E3">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电话：</w:t>
      </w:r>
      <w:r>
        <w:rPr>
          <w:rFonts w:hint="eastAsia" w:ascii="仿宋_GB2312" w:hAnsi="仿宋_GB2312" w:eastAsia="仿宋_GB2312" w:cs="仿宋_GB2312"/>
          <w:sz w:val="32"/>
          <w:szCs w:val="32"/>
        </w:rPr>
        <w:t xml:space="preserve">   </w:t>
      </w:r>
    </w:p>
    <w:p w14:paraId="0AA88AE6">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根据《民法典》等有关法律法规的规定，结合本工程的具体情况，甲乙双方在遵循自愿、平等、公平、诚信的基础上，经双方协商一致，签订本合同。</w:t>
      </w:r>
    </w:p>
    <w:p w14:paraId="76A1F538">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第一条 工程概况   </w:t>
      </w:r>
    </w:p>
    <w:p w14:paraId="4A9E9F80">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rPr>
        <w:t>一、工程名称：</w:t>
      </w:r>
      <w:r>
        <w:rPr>
          <w:rFonts w:hint="eastAsia" w:ascii="仿宋" w:hAnsi="仿宋" w:eastAsia="仿宋" w:cs="仿宋"/>
          <w:b w:val="0"/>
          <w:bCs w:val="0"/>
          <w:sz w:val="32"/>
          <w:szCs w:val="32"/>
          <w:u w:val="none" w:color="auto"/>
          <w:lang w:val="en-US" w:eastAsia="zh-CN"/>
        </w:rPr>
        <w:t>窦圌山原十王殿平台维修改造项目</w:t>
      </w:r>
    </w:p>
    <w:p w14:paraId="762D25AD">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二、工程地点：</w:t>
      </w:r>
      <w:r>
        <w:rPr>
          <w:rFonts w:hint="eastAsia" w:ascii="仿宋_GB2312" w:hAnsi="仿宋_GB2312" w:eastAsia="仿宋_GB2312" w:cs="仿宋_GB2312"/>
          <w:sz w:val="32"/>
          <w:szCs w:val="32"/>
          <w:lang w:val="en-US" w:eastAsia="zh-CN"/>
        </w:rPr>
        <w:t>窦圌山景区</w:t>
      </w:r>
      <w:r>
        <w:rPr>
          <w:rFonts w:hint="eastAsia" w:ascii="仿宋_GB2312" w:hAnsi="仿宋_GB2312" w:eastAsia="仿宋_GB2312" w:cs="仿宋_GB2312"/>
          <w:sz w:val="32"/>
          <w:szCs w:val="32"/>
        </w:rPr>
        <w:t xml:space="preserve">   </w:t>
      </w:r>
    </w:p>
    <w:p w14:paraId="00715298">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第二条 工程范围   </w:t>
      </w:r>
    </w:p>
    <w:p w14:paraId="1107EDDA">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乙方承包的工程范围：</w:t>
      </w:r>
      <w:r>
        <w:rPr>
          <w:rFonts w:hint="eastAsia" w:ascii="仿宋_GB2312" w:hAnsi="仿宋_GB2312" w:eastAsia="仿宋_GB2312" w:cs="仿宋_GB2312"/>
          <w:sz w:val="32"/>
          <w:szCs w:val="32"/>
          <w:lang w:val="en-US" w:eastAsia="zh-CN"/>
        </w:rPr>
        <w:t>窦圌山原十万殿平台开挖、回填、浇筑、美观，修补加固护栏及阶梯等（具体要求见施工图纸）。</w:t>
      </w:r>
    </w:p>
    <w:p w14:paraId="70712DBB">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第三条 承包方式   </w:t>
      </w:r>
    </w:p>
    <w:p w14:paraId="1AB8DAE0">
      <w:pPr>
        <w:keepNext w:val="0"/>
        <w:keepLines w:val="0"/>
        <w:pageBreakBefore w:val="0"/>
        <w:widowControl w:val="0"/>
        <w:kinsoku/>
        <w:wordWrap/>
        <w:overflowPunct/>
        <w:topLinePunct w:val="0"/>
        <w:autoSpaceDE/>
        <w:autoSpaceDN/>
        <w:bidi w:val="0"/>
        <w:spacing w:line="556" w:lineRule="exact"/>
        <w:ind w:firstLine="57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承包方式：</w:t>
      </w:r>
      <w:r>
        <w:rPr>
          <w:rFonts w:hint="eastAsia" w:ascii="仿宋_GB2312" w:hAnsi="仿宋_GB2312" w:eastAsia="仿宋_GB2312" w:cs="仿宋_GB2312"/>
          <w:sz w:val="32"/>
          <w:szCs w:val="32"/>
          <w:lang w:val="en-US" w:eastAsia="zh-CN"/>
        </w:rPr>
        <w:t>含税固定总价包干，</w:t>
      </w:r>
      <w:r>
        <w:rPr>
          <w:rFonts w:hint="eastAsia" w:ascii="仿宋_GB2312" w:hAnsi="仿宋_GB2312" w:eastAsia="仿宋_GB2312" w:cs="仿宋_GB2312"/>
          <w:sz w:val="32"/>
          <w:szCs w:val="32"/>
        </w:rPr>
        <w:t>维修工程所需主材</w:t>
      </w:r>
      <w:r>
        <w:rPr>
          <w:rFonts w:hint="eastAsia" w:ascii="仿宋_GB2312" w:hAnsi="仿宋_GB2312" w:eastAsia="仿宋_GB2312" w:cs="仿宋_GB2312"/>
          <w:sz w:val="32"/>
          <w:szCs w:val="32"/>
          <w:lang w:eastAsia="zh-CN"/>
        </w:rPr>
        <w:t>、辅材，由</w:t>
      </w:r>
      <w:r>
        <w:rPr>
          <w:rFonts w:hint="eastAsia" w:ascii="仿宋_GB2312" w:hAnsi="仿宋_GB2312" w:eastAsia="仿宋_GB2312" w:cs="仿宋_GB2312"/>
          <w:sz w:val="32"/>
          <w:szCs w:val="32"/>
        </w:rPr>
        <w:t>乙方包人工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包</w:t>
      </w:r>
      <w:r>
        <w:rPr>
          <w:rFonts w:hint="eastAsia" w:ascii="仿宋_GB2312" w:hAnsi="仿宋_GB2312" w:eastAsia="仿宋_GB2312" w:cs="仿宋_GB2312"/>
          <w:sz w:val="32"/>
          <w:szCs w:val="32"/>
          <w:lang w:eastAsia="zh-CN"/>
        </w:rPr>
        <w:t>主材、包</w:t>
      </w:r>
      <w:r>
        <w:rPr>
          <w:rFonts w:hint="eastAsia" w:ascii="仿宋_GB2312" w:hAnsi="仿宋_GB2312" w:eastAsia="仿宋_GB2312" w:cs="仿宋_GB2312"/>
          <w:sz w:val="32"/>
          <w:szCs w:val="32"/>
        </w:rPr>
        <w:t>辅料</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 xml:space="preserve">。  </w:t>
      </w:r>
    </w:p>
    <w:p w14:paraId="3D7A7085">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第四条 合同工期 </w:t>
      </w:r>
    </w:p>
    <w:p w14:paraId="21619DC6">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一、本合同工期为</w:t>
      </w:r>
      <w:r>
        <w:rPr>
          <w:rFonts w:hint="eastAsia" w:asciiTheme="majorEastAsia" w:hAnsiTheme="majorEastAsia" w:eastAsiaTheme="majorEastAsia" w:cstheme="majorEastAsia"/>
          <w:sz w:val="32"/>
          <w:szCs w:val="32"/>
          <w:lang w:val="en-US" w:eastAsia="zh-CN"/>
        </w:rPr>
        <w:t>60</w:t>
      </w:r>
      <w:r>
        <w:rPr>
          <w:rFonts w:hint="eastAsia" w:ascii="仿宋_GB2312" w:hAnsi="仿宋_GB2312" w:eastAsia="仿宋_GB2312" w:cs="仿宋_GB2312"/>
          <w:sz w:val="32"/>
          <w:szCs w:val="32"/>
        </w:rPr>
        <w:t>天，自乙方进场之日起计算。</w:t>
      </w:r>
    </w:p>
    <w:p w14:paraId="0AB190D1">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第五条 工程价款   </w:t>
      </w:r>
    </w:p>
    <w:p w14:paraId="002AE638">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工程价款为：合同总价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元</w:t>
      </w:r>
      <w:r>
        <w:rPr>
          <w:rFonts w:hint="eastAsia" w:ascii="仿宋_GB2312" w:hAnsi="仿宋_GB2312" w:eastAsia="仿宋_GB2312" w:cs="仿宋_GB2312"/>
          <w:sz w:val="32"/>
          <w:szCs w:val="32"/>
          <w:u w:val="single"/>
        </w:rPr>
        <w:t>，大写（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u w:val="single"/>
        </w:rPr>
        <w:t>）</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color w:val="FF0000"/>
          <w:sz w:val="32"/>
          <w:szCs w:val="32"/>
          <w:u w:val="single"/>
          <w:lang w:val="en-US" w:eastAsia="zh-CN"/>
        </w:rPr>
        <w:t>（合同最终金额已第三方机构出具的审计报告中审定金额为准）</w:t>
      </w:r>
      <w:r>
        <w:rPr>
          <w:rFonts w:hint="eastAsia" w:ascii="仿宋_GB2312" w:hAnsi="仿宋_GB2312" w:eastAsia="仿宋_GB2312" w:cs="仿宋_GB2312"/>
          <w:color w:val="auto"/>
          <w:sz w:val="32"/>
          <w:szCs w:val="32"/>
          <w:u w:val="single"/>
          <w:lang w:eastAsia="zh-CN"/>
        </w:rPr>
        <w:t>该费用为</w:t>
      </w:r>
      <w:r>
        <w:rPr>
          <w:rFonts w:hint="eastAsia" w:ascii="仿宋_GB2312" w:hAnsi="仿宋_GB2312" w:eastAsia="仿宋_GB2312" w:cs="仿宋_GB2312"/>
          <w:color w:val="auto"/>
          <w:sz w:val="32"/>
          <w:szCs w:val="32"/>
          <w:u w:val="single"/>
          <w:lang w:val="en-US" w:eastAsia="zh-CN"/>
        </w:rPr>
        <w:t>施工图纸</w:t>
      </w:r>
      <w:r>
        <w:rPr>
          <w:rFonts w:hint="eastAsia" w:ascii="仿宋_GB2312" w:hAnsi="仿宋_GB2312" w:eastAsia="仿宋_GB2312" w:cs="仿宋_GB2312"/>
          <w:color w:val="auto"/>
          <w:sz w:val="32"/>
          <w:szCs w:val="32"/>
          <w:u w:val="single"/>
          <w:lang w:eastAsia="zh-CN"/>
        </w:rPr>
        <w:t>约定的</w:t>
      </w:r>
      <w:r>
        <w:rPr>
          <w:rFonts w:hint="eastAsia" w:ascii="仿宋_GB2312" w:hAnsi="仿宋_GB2312" w:eastAsia="仿宋_GB2312" w:cs="仿宋_GB2312"/>
          <w:color w:val="auto"/>
          <w:sz w:val="32"/>
          <w:szCs w:val="32"/>
          <w:u w:val="single"/>
          <w:lang w:val="en-US" w:eastAsia="zh-CN"/>
        </w:rPr>
        <w:t>工程设计变更</w:t>
      </w:r>
      <w:r>
        <w:rPr>
          <w:rFonts w:hint="eastAsia" w:ascii="仿宋_GB2312" w:hAnsi="仿宋_GB2312" w:eastAsia="仿宋_GB2312" w:cs="仿宋_GB2312"/>
          <w:color w:val="auto"/>
          <w:sz w:val="32"/>
          <w:szCs w:val="32"/>
          <w:u w:val="single"/>
          <w:lang w:eastAsia="zh-CN"/>
        </w:rPr>
        <w:t>外的全部费用，</w:t>
      </w:r>
      <w:r>
        <w:rPr>
          <w:rFonts w:hint="eastAsia" w:ascii="仿宋_GB2312" w:hAnsi="仿宋_GB2312" w:eastAsia="仿宋_GB2312" w:cs="仿宋_GB2312"/>
          <w:color w:val="auto"/>
          <w:sz w:val="32"/>
          <w:szCs w:val="32"/>
          <w:u w:val="single"/>
          <w:lang w:val="en-US" w:eastAsia="zh-CN"/>
        </w:rPr>
        <w:t>乙方向甲方提供同等额增值税专用发票，</w:t>
      </w:r>
      <w:r>
        <w:rPr>
          <w:rFonts w:hint="eastAsia" w:ascii="仿宋_GB2312" w:hAnsi="仿宋_GB2312" w:eastAsia="仿宋_GB2312" w:cs="仿宋_GB2312"/>
          <w:color w:val="auto"/>
          <w:sz w:val="32"/>
          <w:szCs w:val="32"/>
          <w:lang w:eastAsia="zh-CN"/>
        </w:rPr>
        <w:t>其中</w:t>
      </w:r>
      <w:r>
        <w:rPr>
          <w:rFonts w:hint="eastAsia" w:ascii="仿宋_GB2312" w:hAnsi="仿宋_GB2312" w:eastAsia="仿宋_GB2312" w:cs="仿宋_GB2312"/>
          <w:sz w:val="32"/>
          <w:szCs w:val="32"/>
          <w:lang w:eastAsia="zh-CN"/>
        </w:rPr>
        <w:t>超出的其它工程量双方协商</w:t>
      </w:r>
      <w:r>
        <w:rPr>
          <w:rFonts w:hint="eastAsia" w:ascii="仿宋_GB2312" w:hAnsi="仿宋_GB2312" w:eastAsia="仿宋_GB2312" w:cs="仿宋_GB2312"/>
          <w:color w:val="auto"/>
          <w:sz w:val="32"/>
          <w:szCs w:val="32"/>
          <w:lang w:eastAsia="zh-CN"/>
        </w:rPr>
        <w:t>费用另行计算</w:t>
      </w:r>
      <w:r>
        <w:rPr>
          <w:rFonts w:hint="eastAsia" w:ascii="仿宋_GB2312" w:hAnsi="仿宋_GB2312" w:eastAsia="仿宋_GB2312" w:cs="仿宋_GB2312"/>
          <w:color w:val="auto"/>
          <w:sz w:val="32"/>
          <w:szCs w:val="32"/>
        </w:rPr>
        <w:t>。</w:t>
      </w:r>
    </w:p>
    <w:p w14:paraId="01AB63F3">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第六条 工程价款支付 </w:t>
      </w:r>
    </w:p>
    <w:p w14:paraId="6B19AA25">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一、双方签订合同后，甲方支付合同总金额的</w:t>
      </w:r>
      <w:r>
        <w:rPr>
          <w:rFonts w:hint="eastAsia" w:asciiTheme="majorEastAsia" w:hAnsiTheme="majorEastAsia" w:eastAsiaTheme="majorEastAsia" w:cstheme="majorEastAsia"/>
          <w:sz w:val="32"/>
          <w:szCs w:val="32"/>
          <w:lang w:val="en-US" w:eastAsia="zh-CN"/>
        </w:rPr>
        <w:t>50%</w:t>
      </w:r>
      <w:r>
        <w:rPr>
          <w:rFonts w:hint="eastAsia" w:ascii="仿宋_GB2312" w:hAnsi="仿宋_GB2312" w:eastAsia="仿宋_GB2312" w:cs="仿宋_GB2312"/>
          <w:sz w:val="32"/>
          <w:szCs w:val="32"/>
          <w:lang w:val="en-US" w:eastAsia="zh-CN"/>
        </w:rPr>
        <w:t>作为备料款，</w:t>
      </w:r>
      <w:r>
        <w:rPr>
          <w:rFonts w:hint="eastAsia" w:ascii="仿宋_GB2312" w:hAnsi="仿宋_GB2312" w:eastAsia="仿宋_GB2312" w:cs="仿宋_GB2312"/>
          <w:sz w:val="32"/>
          <w:szCs w:val="32"/>
          <w:u w:val="single"/>
          <w:lang w:val="en-US" w:eastAsia="zh-CN"/>
        </w:rPr>
        <w:t xml:space="preserve">大写: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u w:val="single"/>
          <w:lang w:val="en-US" w:eastAsia="zh-CN"/>
        </w:rPr>
        <w:t xml:space="preserve">；小写: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lang w:val="en-US" w:eastAsia="zh-CN"/>
        </w:rPr>
        <w:t>,竣工</w:t>
      </w:r>
      <w:r>
        <w:rPr>
          <w:rFonts w:hint="eastAsia" w:ascii="仿宋_GB2312" w:hAnsi="仿宋_GB2312" w:eastAsia="仿宋_GB2312" w:cs="仿宋_GB2312"/>
          <w:sz w:val="32"/>
          <w:szCs w:val="32"/>
        </w:rPr>
        <w:t>验收合格后10个工作日内支付</w:t>
      </w:r>
      <w:r>
        <w:rPr>
          <w:rFonts w:hint="eastAsia" w:ascii="仿宋_GB2312" w:hAnsi="仿宋_GB2312" w:eastAsia="仿宋_GB2312" w:cs="仿宋_GB2312"/>
          <w:sz w:val="32"/>
          <w:szCs w:val="32"/>
          <w:lang w:val="en-US" w:eastAsia="zh-CN"/>
        </w:rPr>
        <w:t>合同总金额</w:t>
      </w:r>
      <w:r>
        <w:rPr>
          <w:rFonts w:hint="eastAsia" w:asciiTheme="majorEastAsia" w:hAnsiTheme="majorEastAsia" w:eastAsiaTheme="majorEastAsia" w:cstheme="majorEastAsia"/>
          <w:sz w:val="32"/>
          <w:szCs w:val="32"/>
          <w:lang w:val="en-US" w:eastAsia="zh-CN"/>
        </w:rPr>
        <w:t>47%</w:t>
      </w:r>
      <w:r>
        <w:rPr>
          <w:rFonts w:hint="eastAsia" w:ascii="仿宋_GB2312" w:hAnsi="仿宋_GB2312" w:eastAsia="仿宋_GB2312" w:cs="仿宋_GB2312"/>
          <w:sz w:val="32"/>
          <w:szCs w:val="32"/>
          <w:lang w:val="en-US" w:eastAsia="zh-CN"/>
        </w:rPr>
        <w:t>（金额：</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元），剩余合同总金额的</w:t>
      </w:r>
      <w:r>
        <w:rPr>
          <w:rFonts w:hint="eastAsia" w:asciiTheme="majorEastAsia" w:hAnsiTheme="majorEastAsia" w:eastAsiaTheme="majorEastAsia" w:cstheme="majorEastAsia"/>
          <w:sz w:val="32"/>
          <w:szCs w:val="32"/>
          <w:lang w:val="en-US" w:eastAsia="zh-CN"/>
        </w:rPr>
        <w:t>3%</w:t>
      </w:r>
      <w:r>
        <w:rPr>
          <w:rFonts w:hint="eastAsia" w:ascii="仿宋_GB2312" w:hAnsi="仿宋_GB2312" w:eastAsia="仿宋_GB2312" w:cs="仿宋_GB2312"/>
          <w:sz w:val="32"/>
          <w:szCs w:val="32"/>
          <w:lang w:val="en-US" w:eastAsia="zh-CN"/>
        </w:rPr>
        <w:t>共计</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元作为质保金，于工程验收合格后的1年质保期满后10日内无息一次性支付。</w:t>
      </w:r>
    </w:p>
    <w:p w14:paraId="47D70F73">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二、乙方账户信息</w:t>
      </w:r>
    </w:p>
    <w:p w14:paraId="2F26C69A">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账户名称： </w:t>
      </w:r>
    </w:p>
    <w:p w14:paraId="7CC65289">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账户： </w:t>
      </w:r>
    </w:p>
    <w:p w14:paraId="1ADCD2EB">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开户银行： </w:t>
      </w:r>
    </w:p>
    <w:p w14:paraId="1B31B68F">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第七条 工程质量 </w:t>
      </w:r>
    </w:p>
    <w:p w14:paraId="1A288728">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color w:val="auto"/>
          <w:sz w:val="32"/>
          <w:szCs w:val="32"/>
          <w:lang w:eastAsia="zh-CN"/>
        </w:rPr>
        <w:t>乙方在</w:t>
      </w:r>
      <w:r>
        <w:rPr>
          <w:rFonts w:hint="eastAsia" w:ascii="仿宋_GB2312" w:hAnsi="仿宋_GB2312" w:eastAsia="仿宋_GB2312" w:cs="仿宋_GB2312"/>
          <w:color w:val="auto"/>
          <w:sz w:val="32"/>
          <w:szCs w:val="32"/>
        </w:rPr>
        <w:t>进场前一日，</w:t>
      </w:r>
      <w:r>
        <w:rPr>
          <w:rFonts w:hint="eastAsia" w:ascii="仿宋_GB2312" w:hAnsi="仿宋_GB2312" w:eastAsia="仿宋_GB2312" w:cs="仿宋_GB2312"/>
          <w:color w:val="auto"/>
          <w:sz w:val="32"/>
          <w:szCs w:val="32"/>
          <w:lang w:eastAsia="zh-CN"/>
        </w:rPr>
        <w:t>了解甲方</w:t>
      </w:r>
      <w:r>
        <w:rPr>
          <w:rFonts w:hint="eastAsia" w:ascii="仿宋_GB2312" w:hAnsi="仿宋_GB2312" w:eastAsia="仿宋_GB2312" w:cs="仿宋_GB2312"/>
          <w:color w:val="auto"/>
          <w:sz w:val="32"/>
          <w:szCs w:val="32"/>
        </w:rPr>
        <w:t>提出必要的要求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向甲方提交书面的施工方案</w:t>
      </w:r>
      <w:r>
        <w:rPr>
          <w:rFonts w:hint="eastAsia" w:ascii="仿宋_GB2312" w:hAnsi="仿宋_GB2312" w:eastAsia="仿宋_GB2312" w:cs="仿宋_GB2312"/>
          <w:color w:val="auto"/>
          <w:sz w:val="32"/>
          <w:szCs w:val="32"/>
        </w:rPr>
        <w:t>。</w:t>
      </w:r>
    </w:p>
    <w:p w14:paraId="5C00182E">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二、涉及隐蔽工程的，在工程隐蔽前，乙方应当通知甲方到场验收。验收不合格的，乙方应整改后重新验收。</w:t>
      </w:r>
    </w:p>
    <w:p w14:paraId="76E4DF64">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三、乙方保证工程符合国家工程建设相关技术标准。</w:t>
      </w:r>
    </w:p>
    <w:p w14:paraId="617E05F2">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四、本工程使用的辅材必须符合国家相关质量标准的规定。</w:t>
      </w:r>
    </w:p>
    <w:p w14:paraId="571A15D2">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第八条 验收 </w:t>
      </w:r>
    </w:p>
    <w:p w14:paraId="45E88D44">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一、工程完工后，乙方应通知甲方验收，甲方自接到验收通知</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日内组织甲乙双方共同验收。</w:t>
      </w:r>
    </w:p>
    <w:p w14:paraId="57FEBD8E">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二、如未达到合同规定的验收质量标准乙方在指定期限内无偿返工</w:t>
      </w:r>
      <w:r>
        <w:rPr>
          <w:rFonts w:hint="eastAsia" w:ascii="仿宋_GB2312" w:hAnsi="仿宋_GB2312" w:eastAsia="仿宋_GB2312" w:cs="仿宋_GB2312"/>
          <w:sz w:val="32"/>
          <w:szCs w:val="32"/>
          <w:lang w:val="en-US" w:eastAsia="zh-CN"/>
        </w:rPr>
        <w:t>并赔偿甲方的损失</w:t>
      </w:r>
      <w:r>
        <w:rPr>
          <w:rFonts w:hint="eastAsia" w:ascii="仿宋_GB2312" w:hAnsi="仿宋_GB2312" w:eastAsia="仿宋_GB2312" w:cs="仿宋_GB2312"/>
          <w:sz w:val="32"/>
          <w:szCs w:val="32"/>
        </w:rPr>
        <w:t>。</w:t>
      </w:r>
    </w:p>
    <w:p w14:paraId="4B7A82D0">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第九条 质量保修 </w:t>
      </w:r>
    </w:p>
    <w:p w14:paraId="1D69D6FB">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color w:val="auto"/>
          <w:sz w:val="32"/>
          <w:szCs w:val="32"/>
          <w:lang w:eastAsia="zh-CN"/>
        </w:rPr>
        <w:t>保修期从验收合格之日起</w:t>
      </w:r>
      <w:r>
        <w:rPr>
          <w:rFonts w:hint="eastAsia" w:ascii="仿宋_GB2312" w:hAnsi="仿宋_GB2312" w:eastAsia="仿宋_GB2312" w:cs="仿宋_GB2312"/>
          <w:color w:val="auto"/>
          <w:sz w:val="32"/>
          <w:szCs w:val="32"/>
          <w:lang w:val="en-US" w:eastAsia="zh-CN"/>
        </w:rPr>
        <w:t>1年，</w:t>
      </w:r>
      <w:r>
        <w:rPr>
          <w:rFonts w:hint="eastAsia" w:ascii="仿宋_GB2312" w:hAnsi="仿宋_GB2312" w:eastAsia="仿宋_GB2312" w:cs="仿宋_GB2312"/>
          <w:sz w:val="32"/>
          <w:szCs w:val="32"/>
        </w:rPr>
        <w:t>乙方负责该区域内建设施工期内的保修，做出质量保修承诺。若乙方不负责保修，</w:t>
      </w:r>
      <w:r>
        <w:rPr>
          <w:rFonts w:hint="eastAsia" w:ascii="仿宋_GB2312" w:hAnsi="仿宋_GB2312" w:eastAsia="仿宋_GB2312" w:cs="仿宋_GB2312"/>
          <w:sz w:val="32"/>
          <w:szCs w:val="32"/>
          <w:lang w:eastAsia="zh-CN"/>
        </w:rPr>
        <w:t>由乙方承担全部</w:t>
      </w:r>
      <w:r>
        <w:rPr>
          <w:rFonts w:hint="eastAsia" w:ascii="仿宋_GB2312" w:hAnsi="仿宋_GB2312" w:eastAsia="仿宋_GB2312" w:cs="仿宋_GB2312"/>
          <w:sz w:val="32"/>
          <w:szCs w:val="32"/>
        </w:rPr>
        <w:t>费用。</w:t>
      </w:r>
    </w:p>
    <w:p w14:paraId="194D1437">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二、保修期间，符合保修条件的，乙方均应当在接到甲方发出的书面保修通知后在限定时间内维修破坏的部分。</w:t>
      </w:r>
    </w:p>
    <w:p w14:paraId="3E762B16">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第十条 甲方权利和义务 </w:t>
      </w:r>
    </w:p>
    <w:p w14:paraId="2F96A5E1">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一、开工前向乙方</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lang w:val="en-US" w:eastAsia="zh-CN"/>
        </w:rPr>
        <w:t>施工图纸</w:t>
      </w:r>
      <w:r>
        <w:rPr>
          <w:rFonts w:hint="eastAsia" w:ascii="仿宋_GB2312" w:hAnsi="仿宋_GB2312" w:eastAsia="仿宋_GB2312" w:cs="仿宋_GB2312"/>
          <w:color w:val="auto"/>
          <w:sz w:val="32"/>
          <w:szCs w:val="32"/>
          <w:lang w:eastAsia="zh-CN"/>
        </w:rPr>
        <w:t>方案</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最终方案</w:t>
      </w:r>
      <w:r>
        <w:rPr>
          <w:rFonts w:hint="eastAsia" w:ascii="仿宋_GB2312" w:hAnsi="仿宋_GB2312" w:eastAsia="仿宋_GB2312" w:cs="仿宋_GB2312"/>
          <w:color w:val="auto"/>
          <w:sz w:val="32"/>
          <w:szCs w:val="32"/>
        </w:rPr>
        <w:t>应经</w:t>
      </w:r>
      <w:r>
        <w:rPr>
          <w:rFonts w:hint="eastAsia" w:ascii="仿宋_GB2312" w:hAnsi="仿宋_GB2312" w:eastAsia="仿宋_GB2312" w:cs="仿宋_GB2312"/>
          <w:sz w:val="32"/>
          <w:szCs w:val="32"/>
        </w:rPr>
        <w:t>双方现场确认。</w:t>
      </w:r>
    </w:p>
    <w:p w14:paraId="095E7011">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二、甲方对工程质量、进度进行监督并负责确认工程。</w:t>
      </w:r>
    </w:p>
    <w:p w14:paraId="57C03841">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第十一条 乙方权利和义务 </w:t>
      </w:r>
    </w:p>
    <w:p w14:paraId="0A235FBB">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一、乙方配合有关部门做好现场安全防护、安全设施和垃圾处理等工作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eastAsia="zh-CN"/>
        </w:rPr>
        <w:t>施工期间现场安全责任由乙方负责</w:t>
      </w:r>
      <w:r>
        <w:rPr>
          <w:rFonts w:hint="eastAsia" w:ascii="仿宋_GB2312" w:hAnsi="仿宋_GB2312" w:eastAsia="仿宋_GB2312" w:cs="仿宋_GB2312"/>
          <w:color w:val="auto"/>
          <w:sz w:val="32"/>
          <w:szCs w:val="32"/>
        </w:rPr>
        <w:t>。</w:t>
      </w:r>
    </w:p>
    <w:p w14:paraId="67FAFBE4">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二、参加甲方组织的现场交底。</w:t>
      </w:r>
    </w:p>
    <w:p w14:paraId="4B286D0D">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三、遵守国家或地方政府对施工现场管理的规定，妥善保护好施工开挖过程中遇到的周围建筑物、设备管线。</w:t>
      </w:r>
    </w:p>
    <w:p w14:paraId="1384DAC0">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四、乙方在施工过程中，违反有关安全操作规程或条例等原因导致发生的质量事故、安全事故，乙方应承担全部责任及由此造成的一切损失。甲方不负责任何连带责任。</w:t>
      </w:r>
    </w:p>
    <w:p w14:paraId="43088269">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五、乙方应具有相关的建筑</w:t>
      </w:r>
      <w:bookmarkStart w:id="1" w:name="_GoBack"/>
      <w:bookmarkEnd w:id="1"/>
      <w:r>
        <w:rPr>
          <w:rFonts w:hint="eastAsia" w:ascii="仿宋_GB2312" w:hAnsi="仿宋_GB2312" w:eastAsia="仿宋_GB2312" w:cs="仿宋_GB2312"/>
          <w:sz w:val="32"/>
          <w:szCs w:val="32"/>
          <w:lang w:val="en-US" w:eastAsia="zh-CN"/>
        </w:rPr>
        <w:t>施工资质。</w:t>
      </w:r>
    </w:p>
    <w:p w14:paraId="1F8CA428">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第十二条 违约责任 </w:t>
      </w:r>
    </w:p>
    <w:p w14:paraId="6DA98CBB">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一、由于乙方原因逾期完工的，每逾期一日，乙方支付甲方本工程价款3%的违约金。</w:t>
      </w:r>
    </w:p>
    <w:p w14:paraId="29CD9BE7">
      <w:pPr>
        <w:pStyle w:val="2"/>
        <w:keepNext w:val="0"/>
        <w:keepLines w:val="0"/>
        <w:pageBreakBefore w:val="0"/>
        <w:widowControl w:val="0"/>
        <w:kinsoku/>
        <w:wordWrap/>
        <w:overflowPunct/>
        <w:topLinePunct w:val="0"/>
        <w:autoSpaceDE/>
        <w:autoSpaceDN/>
        <w:bidi w:val="0"/>
        <w:spacing w:after="0" w:line="556"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任何一方有其他违反本合同情形的，应向守约方支付合同总金额20%的违约</w:t>
      </w:r>
      <w:r>
        <w:rPr>
          <w:rFonts w:hint="eastAsia" w:ascii="仿宋_GB2312" w:hAnsi="仿宋_GB2312" w:eastAsia="仿宋_GB2312" w:cs="仿宋_GB2312"/>
          <w:sz w:val="32"/>
          <w:szCs w:val="32"/>
          <w:lang w:val="en-US" w:eastAsia="zh-CN"/>
        </w:rPr>
        <w:t>金</w:t>
      </w:r>
      <w:r>
        <w:rPr>
          <w:rFonts w:hint="eastAsia" w:ascii="仿宋_GB2312" w:hAnsi="仿宋_GB2312" w:eastAsia="仿宋_GB2312" w:cs="仿宋_GB2312"/>
          <w:sz w:val="32"/>
          <w:szCs w:val="32"/>
        </w:rPr>
        <w:t>并赔偿守约方全部损失。</w:t>
      </w:r>
    </w:p>
    <w:p w14:paraId="191681AB">
      <w:pPr>
        <w:pStyle w:val="2"/>
        <w:keepNext w:val="0"/>
        <w:keepLines w:val="0"/>
        <w:pageBreakBefore w:val="0"/>
        <w:widowControl w:val="0"/>
        <w:kinsoku/>
        <w:wordWrap/>
        <w:overflowPunct/>
        <w:topLinePunct w:val="0"/>
        <w:autoSpaceDE/>
        <w:autoSpaceDN/>
        <w:bidi w:val="0"/>
        <w:spacing w:after="0" w:line="556"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p>
    <w:p w14:paraId="6822417F">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第十三条 合同的生效   </w:t>
      </w:r>
    </w:p>
    <w:p w14:paraId="3AF2B93C">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本合同自双方签字</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盖章之日起生效。合同所附附件与本合同具有同等效力。本合同一式</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份，双方各执</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份。</w:t>
      </w:r>
    </w:p>
    <w:p w14:paraId="258201AD">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 xml:space="preserve">条 争议解决方式 </w:t>
      </w:r>
    </w:p>
    <w:p w14:paraId="259D82A8">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双方发生争议的，可协商解决，协商不成</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rPr>
        <w:t>向甲方所在地人民法院提起诉讼。</w:t>
      </w:r>
    </w:p>
    <w:p w14:paraId="00B35E35">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 xml:space="preserve">条 付款方式 </w:t>
      </w:r>
    </w:p>
    <w:p w14:paraId="018DF28D">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乙方应出具经甲方财务认可的国家正式发票办理付款，否则甲方有权拒付。乙方在施工过程中，若因村民闹事而影响施工的一切行为均由乙方自行解决，不得因此而影响施工进度</w:t>
      </w:r>
      <w:r>
        <w:rPr>
          <w:rFonts w:hint="eastAsia" w:ascii="仿宋_GB2312" w:hAnsi="仿宋_GB2312" w:eastAsia="仿宋_GB2312" w:cs="仿宋_GB2312"/>
          <w:sz w:val="32"/>
          <w:szCs w:val="32"/>
          <w:lang w:val="en-US" w:eastAsia="zh-CN"/>
        </w:rPr>
        <w:t>及工期</w:t>
      </w:r>
      <w:r>
        <w:rPr>
          <w:rFonts w:hint="eastAsia" w:ascii="仿宋_GB2312" w:hAnsi="仿宋_GB2312" w:eastAsia="仿宋_GB2312" w:cs="仿宋_GB2312"/>
          <w:sz w:val="32"/>
          <w:szCs w:val="32"/>
        </w:rPr>
        <w:t>，且不能转嫁给甲方，由此造成的一切费用均由乙方承担。</w:t>
      </w:r>
    </w:p>
    <w:p w14:paraId="77AAF2D6">
      <w:pPr>
        <w:pStyle w:val="2"/>
        <w:keepNext w:val="0"/>
        <w:keepLines w:val="0"/>
        <w:pageBreakBefore w:val="0"/>
        <w:widowControl w:val="0"/>
        <w:kinsoku/>
        <w:wordWrap/>
        <w:overflowPunct/>
        <w:topLinePunct w:val="0"/>
        <w:autoSpaceDE/>
        <w:autoSpaceDN/>
        <w:bidi w:val="0"/>
        <w:spacing w:after="0" w:line="556" w:lineRule="exact"/>
        <w:textAlignment w:val="auto"/>
        <w:rPr>
          <w:rFonts w:hint="eastAsia"/>
        </w:rPr>
      </w:pPr>
    </w:p>
    <w:p w14:paraId="5BB50BA6">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甲方：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乙 方： </w:t>
      </w:r>
    </w:p>
    <w:p w14:paraId="68631DA0">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代理人：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代理人：   </w:t>
      </w:r>
    </w:p>
    <w:p w14:paraId="29EE5AA7">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电 话：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电 话：   </w:t>
      </w:r>
    </w:p>
    <w:p w14:paraId="2B5F9D2E">
      <w:pPr>
        <w:keepNext w:val="0"/>
        <w:keepLines w:val="0"/>
        <w:pageBreakBefore w:val="0"/>
        <w:widowControl w:val="0"/>
        <w:shd w:val="clear" w:color="auto" w:fill="auto"/>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日 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日 期：  </w:t>
      </w:r>
    </w:p>
    <w:p w14:paraId="3D2A19DB"/>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C57B1">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9651A34">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9651A34">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20D11C10"/>
    <w:multiLevelType w:val="multilevel"/>
    <w:tmpl w:val="20D11C10"/>
    <w:lvl w:ilvl="0" w:tentative="0">
      <w:start w:val="1"/>
      <w:numFmt w:val="chineseCountingThousand"/>
      <w:lvlText w:val="%1、"/>
      <w:lvlJc w:val="left"/>
      <w:pPr>
        <w:ind w:left="794" w:hanging="794"/>
      </w:pPr>
      <w:rPr>
        <w:rFonts w:hint="eastAsia" w:eastAsia="宋体"/>
        <w:b/>
        <w:i w:val="0"/>
        <w:sz w:val="21"/>
      </w:rPr>
    </w:lvl>
    <w:lvl w:ilvl="1" w:tentative="0">
      <w:start w:val="1"/>
      <w:numFmt w:val="decimal"/>
      <w:pStyle w:val="9"/>
      <w:lvlText w:val="%2."/>
      <w:lvlJc w:val="left"/>
      <w:pPr>
        <w:ind w:left="794" w:hanging="794"/>
      </w:pPr>
      <w:rPr>
        <w:rFonts w:hint="default" w:ascii="宋体" w:hAnsi="宋体" w:eastAsia="宋体"/>
        <w:b/>
        <w:i w:val="0"/>
        <w:sz w:val="21"/>
      </w:rPr>
    </w:lvl>
    <w:lvl w:ilvl="2" w:tentative="0">
      <w:start w:val="1"/>
      <w:numFmt w:val="decimal"/>
      <w:pStyle w:val="8"/>
      <w:lvlText w:val="%2.%3."/>
      <w:lvlJc w:val="left"/>
      <w:pPr>
        <w:ind w:left="794" w:hanging="794"/>
      </w:pPr>
      <w:rPr>
        <w:rFonts w:hint="eastAsia"/>
      </w:rPr>
    </w:lvl>
    <w:lvl w:ilvl="3" w:tentative="0">
      <w:start w:val="1"/>
      <w:numFmt w:val="decimal"/>
      <w:lvlText w:val="%2.%3.%4."/>
      <w:lvlJc w:val="left"/>
      <w:pPr>
        <w:ind w:left="794" w:hanging="794"/>
      </w:pPr>
      <w:rPr>
        <w:rFonts w:hint="eastAsia"/>
      </w:rPr>
    </w:lvl>
    <w:lvl w:ilvl="4" w:tentative="0">
      <w:start w:val="1"/>
      <w:numFmt w:val="upperLetter"/>
      <w:lvlText w:val="%5"/>
      <w:lvlJc w:val="left"/>
      <w:pPr>
        <w:tabs>
          <w:tab w:val="left" w:pos="794"/>
        </w:tabs>
        <w:ind w:left="794" w:hanging="794"/>
      </w:pPr>
      <w:rPr>
        <w:rFonts w:hint="eastAsia"/>
      </w:rPr>
    </w:lvl>
    <w:lvl w:ilvl="5" w:tentative="0">
      <w:start w:val="1"/>
      <w:numFmt w:val="decimal"/>
      <w:lvlText w:val="%1.%2.%3.%4.%5.%6"/>
      <w:lvlJc w:val="left"/>
      <w:pPr>
        <w:ind w:left="794" w:hanging="794"/>
      </w:pPr>
      <w:rPr>
        <w:rFonts w:hint="eastAsia"/>
      </w:rPr>
    </w:lvl>
    <w:lvl w:ilvl="6" w:tentative="0">
      <w:start w:val="1"/>
      <w:numFmt w:val="decimal"/>
      <w:lvlText w:val="%1.%2.%3.%4.%5.%6.%7"/>
      <w:lvlJc w:val="left"/>
      <w:pPr>
        <w:ind w:left="794" w:hanging="794"/>
      </w:pPr>
      <w:rPr>
        <w:rFonts w:hint="eastAsia"/>
      </w:rPr>
    </w:lvl>
    <w:lvl w:ilvl="7" w:tentative="0">
      <w:start w:val="1"/>
      <w:numFmt w:val="decimal"/>
      <w:lvlText w:val="%1.%2.%3.%4.%5.%6.%7.%8"/>
      <w:lvlJc w:val="left"/>
      <w:pPr>
        <w:ind w:left="794" w:hanging="794"/>
      </w:pPr>
      <w:rPr>
        <w:rFonts w:hint="eastAsia"/>
      </w:rPr>
    </w:lvl>
    <w:lvl w:ilvl="8" w:tentative="0">
      <w:start w:val="1"/>
      <w:numFmt w:val="decimal"/>
      <w:lvlText w:val="%1.%2.%3.%4.%5.%6.%7.%8.%9"/>
      <w:lvlJc w:val="left"/>
      <w:pPr>
        <w:ind w:left="794" w:hanging="794"/>
      </w:pPr>
      <w:rPr>
        <w:rFonts w:hint="eastAsia"/>
      </w:rPr>
    </w:lvl>
  </w:abstractNum>
  <w:abstractNum w:abstractNumId="2">
    <w:nsid w:val="58EC7259"/>
    <w:multiLevelType w:val="singleLevel"/>
    <w:tmpl w:val="58EC7259"/>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0A67D58"/>
    <w:rsid w:val="052F3AB7"/>
    <w:rsid w:val="0C1C4170"/>
    <w:rsid w:val="0D7364E2"/>
    <w:rsid w:val="144C3A6C"/>
    <w:rsid w:val="15CA4003"/>
    <w:rsid w:val="19E97591"/>
    <w:rsid w:val="2AFB60D8"/>
    <w:rsid w:val="361719C1"/>
    <w:rsid w:val="367A046E"/>
    <w:rsid w:val="37D2397E"/>
    <w:rsid w:val="382128B0"/>
    <w:rsid w:val="3A634637"/>
    <w:rsid w:val="3BEB6C08"/>
    <w:rsid w:val="497D6264"/>
    <w:rsid w:val="49EF1FB7"/>
    <w:rsid w:val="57FC6593"/>
    <w:rsid w:val="5CD500C8"/>
    <w:rsid w:val="62113CD1"/>
    <w:rsid w:val="6D4E5FC4"/>
    <w:rsid w:val="6F264A70"/>
    <w:rsid w:val="7BCE36BF"/>
    <w:rsid w:val="7CEB202E"/>
    <w:rsid w:val="7D8074AE"/>
    <w:rsid w:val="7F716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3">
    <w:name w:val="Body Text"/>
    <w:basedOn w:val="1"/>
    <w:next w:val="1"/>
    <w:autoRedefine/>
    <w:qFormat/>
    <w:uiPriority w:val="0"/>
    <w:rPr>
      <w:rFonts w:ascii="华文中宋" w:eastAsia="华文中宋"/>
      <w:bCs/>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8"/>
    <w:basedOn w:val="9"/>
    <w:autoRedefine/>
    <w:qFormat/>
    <w:uiPriority w:val="0"/>
    <w:pPr>
      <w:numPr>
        <w:ilvl w:val="2"/>
      </w:numPr>
    </w:pPr>
    <w:rPr>
      <w:b w:val="0"/>
    </w:rPr>
  </w:style>
  <w:style w:type="paragraph" w:customStyle="1" w:styleId="9">
    <w:name w:val="样式2"/>
    <w:basedOn w:val="1"/>
    <w:autoRedefine/>
    <w:qFormat/>
    <w:uiPriority w:val="0"/>
    <w:pPr>
      <w:numPr>
        <w:ilvl w:val="1"/>
        <w:numId w:val="1"/>
      </w:numPr>
      <w:spacing w:beforeLines="50" w:line="276" w:lineRule="auto"/>
    </w:pPr>
    <w:rPr>
      <w:rFonts w:ascii="宋体" w:hAnsi="宋体"/>
      <w:b/>
      <w:szCs w:val="21"/>
    </w:rPr>
  </w:style>
  <w:style w:type="table" w:customStyle="1" w:styleId="10">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2695</Words>
  <Characters>2725</Characters>
  <Lines>0</Lines>
  <Paragraphs>0</Paragraphs>
  <TotalTime>6</TotalTime>
  <ScaleCrop>false</ScaleCrop>
  <LinksUpToDate>false</LinksUpToDate>
  <CharactersWithSpaces>3131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2024-02-28T08:05:00Z</cp:lastPrinted>
  <dcterms:modified xsi:type="dcterms:W3CDTF">2025-01-06T02:39:21Z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76C9A4773B63434B9FC51B57D37D2DB1_11</vt:lpwstr>
  </property>
  <property fmtid="{D5CDD505-2E9C-101B-9397-08002B2CF9AE}" pid="4" name="KSOTemplateDocerSaveRecord">
    <vt:lpwstr>eyJoZGlkIjoiOTA5OTQ4MzM2ZWQ4OTkzYzBlY2QyNWY5YjRhZjMwZmMiLCJ1c2VySWQiOiI1MjQxODk4MTQifQ==</vt:lpwstr>
  </property>
</Properties>
</file>