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color w:val="auto"/>
          <w:sz w:val="44"/>
          <w:szCs w:val="44"/>
          <w:u w:val="none" w:color="auto"/>
          <w:lang w:val="en-US" w:eastAsia="zh-CN"/>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为画屏公司甄选一家活动服务单位开展窦圌山</w:t>
      </w:r>
      <w:r>
        <w:rPr>
          <w:rFonts w:hint="default" w:ascii="Times New Roman" w:hAnsi="Times New Roman" w:eastAsia="仿宋_GB2312" w:cs="Times New Roman"/>
          <w:b w:val="0"/>
          <w:bCs w:val="0"/>
          <w:sz w:val="32"/>
          <w:szCs w:val="32"/>
          <w:lang w:val="en-US" w:eastAsia="zh-CN"/>
        </w:rPr>
        <w:t>爱国主义教育暨国防装备展览活动</w:t>
      </w:r>
      <w:r>
        <w:rPr>
          <w:rFonts w:hint="eastAsia" w:ascii="仿宋" w:hAnsi="仿宋" w:eastAsia="仿宋" w:cs="仿宋"/>
          <w:b w:val="0"/>
          <w:bCs w:val="0"/>
          <w:sz w:val="32"/>
          <w:szCs w:val="32"/>
          <w:u w:val="none" w:color="auto"/>
          <w:lang w:val="en-US"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keepNext w:val="0"/>
        <w:keepLines w:val="0"/>
        <w:pageBreakBefore w:val="0"/>
        <w:widowControl w:val="0"/>
        <w:kinsoku/>
        <w:wordWrap/>
        <w:overflowPunct/>
        <w:topLinePunct w:val="0"/>
        <w:autoSpaceDE/>
        <w:autoSpaceDN/>
        <w:bidi w:val="0"/>
        <w:spacing w:after="0" w:line="578" w:lineRule="exact"/>
        <w:ind w:left="0" w:leftChars="0" w:firstLine="643" w:firstLineChars="200"/>
        <w:textAlignment w:val="auto"/>
        <w:outlineLvl w:val="9"/>
        <w:rPr>
          <w:rFonts w:hint="eastAsia" w:hAnsi="仿宋_GB2312" w:cs="仿宋_GB2312"/>
          <w:b w:val="0"/>
          <w:bCs w:val="0"/>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活动名称</w:t>
      </w:r>
      <w:r>
        <w:rPr>
          <w:rFonts w:hint="eastAsia" w:ascii="楷体_GB2312" w:hAnsi="楷体_GB2312" w:eastAsia="楷体_GB2312" w:cs="楷体_GB2312"/>
          <w:b w:val="0"/>
          <w:bCs w:val="0"/>
          <w:sz w:val="32"/>
          <w:szCs w:val="32"/>
          <w:lang w:val="en-US" w:eastAsia="zh-CN"/>
        </w:rPr>
        <w:t>：</w:t>
      </w:r>
      <w:r>
        <w:rPr>
          <w:rFonts w:hint="eastAsia" w:hAnsi="仿宋_GB2312" w:cs="仿宋_GB2312"/>
          <w:b w:val="0"/>
          <w:bCs w:val="0"/>
          <w:sz w:val="32"/>
          <w:szCs w:val="32"/>
          <w:lang w:val="en-US" w:eastAsia="zh-CN"/>
        </w:rPr>
        <w:t>窦圌山景区爱国主义教育暨国防装备展览</w:t>
      </w:r>
      <w:bookmarkStart w:id="1" w:name="_GoBack"/>
      <w:bookmarkEnd w:id="1"/>
    </w:p>
    <w:p>
      <w:pPr>
        <w:pStyle w:val="2"/>
        <w:keepNext w:val="0"/>
        <w:keepLines w:val="0"/>
        <w:pageBreakBefore w:val="0"/>
        <w:widowControl w:val="0"/>
        <w:kinsoku/>
        <w:wordWrap/>
        <w:overflowPunct/>
        <w:topLinePunct w:val="0"/>
        <w:autoSpaceDE/>
        <w:autoSpaceDN/>
        <w:bidi w:val="0"/>
        <w:spacing w:after="0" w:line="578" w:lineRule="exact"/>
        <w:ind w:left="0" w:leftChars="0" w:firstLine="643" w:firstLineChars="200"/>
        <w:textAlignment w:val="auto"/>
        <w:outlineLvl w:val="9"/>
        <w:rPr>
          <w:rFonts w:hint="default" w:ascii="Times New Roman" w:hAnsi="Times New Roman" w:cs="Times New Roman"/>
          <w:b w:val="0"/>
          <w:bCs w:val="0"/>
          <w:sz w:val="32"/>
          <w:szCs w:val="32"/>
          <w:lang w:val="en-US" w:eastAsia="zh-CN"/>
        </w:rPr>
      </w:pPr>
      <w:r>
        <w:rPr>
          <w:rFonts w:hint="eastAsia" w:ascii="楷体_GB2312" w:hAnsi="楷体_GB2312" w:eastAsia="楷体_GB2312" w:cs="楷体_GB2312"/>
          <w:b/>
          <w:bCs/>
          <w:sz w:val="32"/>
          <w:szCs w:val="32"/>
          <w:lang w:val="en-US" w:eastAsia="zh-CN"/>
        </w:rPr>
        <w:t>（二）活动时间</w:t>
      </w:r>
      <w:r>
        <w:rPr>
          <w:rFonts w:hint="eastAsia" w:hAnsi="仿宋_GB2312" w:cs="仿宋_GB2312"/>
          <w:b w:val="0"/>
          <w:bCs w:val="0"/>
          <w:sz w:val="32"/>
          <w:szCs w:val="32"/>
          <w:lang w:val="en-US" w:eastAsia="zh-CN"/>
        </w:rPr>
        <w:t>：</w:t>
      </w:r>
      <w:r>
        <w:rPr>
          <w:rFonts w:hint="default" w:ascii="Times New Roman" w:hAnsi="Times New Roman" w:cs="Times New Roman"/>
          <w:b w:val="0"/>
          <w:bCs w:val="0"/>
          <w:sz w:val="32"/>
          <w:szCs w:val="32"/>
          <w:lang w:val="en-US" w:eastAsia="zh-CN"/>
        </w:rPr>
        <w:t>2024年7月1</w:t>
      </w:r>
      <w:r>
        <w:rPr>
          <w:rFonts w:hint="eastAsia" w:ascii="Times New Roman" w:cs="Times New Roman"/>
          <w:b w:val="0"/>
          <w:bCs w:val="0"/>
          <w:sz w:val="32"/>
          <w:szCs w:val="32"/>
          <w:lang w:val="en-US" w:eastAsia="zh-CN"/>
        </w:rPr>
        <w:t>3</w:t>
      </w:r>
      <w:r>
        <w:rPr>
          <w:rFonts w:hint="default" w:ascii="Times New Roman" w:hAnsi="Times New Roman" w:cs="Times New Roman"/>
          <w:b w:val="0"/>
          <w:bCs w:val="0"/>
          <w:sz w:val="32"/>
          <w:szCs w:val="32"/>
          <w:lang w:val="en-US" w:eastAsia="zh-CN"/>
        </w:rPr>
        <w:t>日至8月</w:t>
      </w:r>
      <w:r>
        <w:rPr>
          <w:rFonts w:hint="eastAsia" w:ascii="Times New Roman" w:cs="Times New Roman"/>
          <w:b w:val="0"/>
          <w:bCs w:val="0"/>
          <w:sz w:val="32"/>
          <w:szCs w:val="32"/>
          <w:lang w:val="en-US" w:eastAsia="zh-CN"/>
        </w:rPr>
        <w:t>15</w:t>
      </w:r>
      <w:r>
        <w:rPr>
          <w:rFonts w:hint="default" w:ascii="Times New Roman" w:hAnsi="Times New Roman" w:cs="Times New Roman"/>
          <w:b w:val="0"/>
          <w:bCs w:val="0"/>
          <w:sz w:val="32"/>
          <w:szCs w:val="32"/>
          <w:lang w:val="en-US" w:eastAsia="zh-CN"/>
        </w:rPr>
        <w:t>日（为期</w:t>
      </w:r>
      <w:r>
        <w:rPr>
          <w:rFonts w:hint="eastAsia" w:ascii="Times New Roman" w:cs="Times New Roman"/>
          <w:b w:val="0"/>
          <w:bCs w:val="0"/>
          <w:sz w:val="32"/>
          <w:szCs w:val="32"/>
          <w:lang w:val="en-US" w:eastAsia="zh-CN"/>
        </w:rPr>
        <w:t>34</w:t>
      </w:r>
      <w:r>
        <w:rPr>
          <w:rFonts w:hint="default" w:ascii="Times New Roman" w:hAnsi="Times New Roman" w:cs="Times New Roman"/>
          <w:b w:val="0"/>
          <w:bCs w:val="0"/>
          <w:sz w:val="32"/>
          <w:szCs w:val="32"/>
          <w:lang w:val="en-US" w:eastAsia="zh-CN"/>
        </w:rPr>
        <w:t>天）</w:t>
      </w:r>
    </w:p>
    <w:p>
      <w:pPr>
        <w:pStyle w:val="2"/>
        <w:keepNext w:val="0"/>
        <w:keepLines w:val="0"/>
        <w:pageBreakBefore w:val="0"/>
        <w:widowControl w:val="0"/>
        <w:kinsoku/>
        <w:wordWrap/>
        <w:overflowPunct/>
        <w:topLinePunct w:val="0"/>
        <w:autoSpaceDE/>
        <w:autoSpaceDN/>
        <w:bidi w:val="0"/>
        <w:spacing w:after="0" w:line="578" w:lineRule="exact"/>
        <w:ind w:left="0" w:leftChars="0" w:firstLine="643"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（三）活动地点</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z w:val="32"/>
          <w:szCs w:val="32"/>
          <w:lang w:val="en-US" w:eastAsia="zh-CN"/>
        </w:rPr>
        <w:t>龙柱广场—游客中心停车场—八百梯停车场。</w:t>
      </w:r>
    </w:p>
    <w:p>
      <w:pPr>
        <w:keepNext w:val="0"/>
        <w:keepLines w:val="0"/>
        <w:pageBreakBefore w:val="0"/>
        <w:widowControl w:val="0"/>
        <w:kinsoku/>
        <w:wordWrap/>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活动内容：</w:t>
      </w:r>
      <w:r>
        <w:rPr>
          <w:rFonts w:hint="eastAsia" w:ascii="仿宋_GB2312" w:hAnsi="仿宋_GB2312" w:eastAsia="仿宋_GB2312" w:cs="仿宋_GB2312"/>
          <w:b w:val="0"/>
          <w:bCs w:val="0"/>
          <w:sz w:val="32"/>
          <w:szCs w:val="32"/>
          <w:lang w:val="en-US" w:eastAsia="zh-CN"/>
        </w:rPr>
        <w:t>国防装备静态展示、国防装备动态演示、爱国主义教育长廊、军事射击项目体验。</w:t>
      </w:r>
    </w:p>
    <w:p>
      <w:pPr>
        <w:keepNext w:val="0"/>
        <w:keepLines w:val="0"/>
        <w:pageBreakBefore w:val="0"/>
        <w:widowControl w:val="0"/>
        <w:kinsoku/>
        <w:wordWrap/>
        <w:overflowPunct/>
        <w:topLinePunct w:val="0"/>
        <w:autoSpaceDE/>
        <w:autoSpaceDN/>
        <w:bidi w:val="0"/>
        <w:spacing w:line="578" w:lineRule="exact"/>
        <w:ind w:firstLine="643" w:firstLineChars="200"/>
        <w:textAlignment w:val="auto"/>
        <w:rPr>
          <w:rFonts w:hint="default"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（五）最高限价：</w:t>
      </w:r>
      <w:r>
        <w:rPr>
          <w:rFonts w:hint="eastAsia" w:ascii="仿宋_GB2312" w:hAnsi="仿宋_GB2312" w:eastAsia="仿宋_GB2312" w:cs="仿宋_GB2312"/>
          <w:b w:val="0"/>
          <w:bCs w:val="0"/>
          <w:sz w:val="32"/>
          <w:szCs w:val="32"/>
          <w:lang w:val="en-US" w:eastAsia="zh-CN"/>
        </w:rPr>
        <w:t>22万元</w:t>
      </w:r>
    </w:p>
    <w:p>
      <w:pPr>
        <w:pStyle w:val="2"/>
        <w:keepNext w:val="0"/>
        <w:keepLines w:val="0"/>
        <w:pageBreakBefore w:val="0"/>
        <w:widowControl w:val="0"/>
        <w:shd w:val="clear" w:color="auto" w:fill="auto"/>
        <w:kinsoku/>
        <w:wordWrap/>
        <w:overflowPunct/>
        <w:topLinePunct w:val="0"/>
        <w:autoSpaceDE/>
        <w:autoSpaceDN/>
        <w:bidi w:val="0"/>
        <w:spacing w:after="0" w:line="576"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（六）展览服务清单</w:t>
      </w:r>
    </w:p>
    <w:tbl>
      <w:tblPr>
        <w:tblStyle w:val="8"/>
        <w:tblW w:w="79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2"/>
        <w:gridCol w:w="1665"/>
        <w:gridCol w:w="895"/>
        <w:gridCol w:w="852"/>
        <w:gridCol w:w="781"/>
        <w:gridCol w:w="1222"/>
        <w:gridCol w:w="1159"/>
        <w:gridCol w:w="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jc w:val="center"/>
        </w:trPr>
        <w:tc>
          <w:tcPr>
            <w:tcW w:w="652"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1665"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名称</w:t>
            </w:r>
          </w:p>
        </w:tc>
        <w:tc>
          <w:tcPr>
            <w:tcW w:w="895"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数量</w:t>
            </w:r>
          </w:p>
        </w:tc>
        <w:tc>
          <w:tcPr>
            <w:tcW w:w="852"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单位</w:t>
            </w:r>
          </w:p>
        </w:tc>
        <w:tc>
          <w:tcPr>
            <w:tcW w:w="781"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人员配置</w:t>
            </w:r>
          </w:p>
        </w:tc>
        <w:tc>
          <w:tcPr>
            <w:tcW w:w="1222"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岗位</w:t>
            </w:r>
          </w:p>
        </w:tc>
        <w:tc>
          <w:tcPr>
            <w:tcW w:w="1159"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时间（天）</w:t>
            </w:r>
          </w:p>
        </w:tc>
        <w:tc>
          <w:tcPr>
            <w:tcW w:w="75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动态装甲车</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辆</w:t>
            </w:r>
          </w:p>
        </w:tc>
        <w:tc>
          <w:tcPr>
            <w:tcW w:w="78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2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驾驶员</w:t>
            </w: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动态坦克</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辆</w:t>
            </w:r>
          </w:p>
        </w:tc>
        <w:tc>
          <w:tcPr>
            <w:tcW w:w="78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2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驾驶员</w:t>
            </w: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静态飞机</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（3架）</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81"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体验高炮</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8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2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教官</w:t>
            </w: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大炮</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81"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迫击炮</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781"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火箭筒</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781"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气泡枪</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781"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手榴弹</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81"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射击体验</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78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2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教官</w:t>
            </w: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动态小坦克</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辆</w:t>
            </w:r>
          </w:p>
        </w:tc>
        <w:tc>
          <w:tcPr>
            <w:tcW w:w="78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2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驾驶员/安全员</w:t>
            </w: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166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VR射击体验舱</w:t>
            </w:r>
          </w:p>
        </w:tc>
        <w:tc>
          <w:tcPr>
            <w:tcW w:w="8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5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81"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1665"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水炸点（6组）</w:t>
            </w:r>
          </w:p>
        </w:tc>
        <w:tc>
          <w:tcPr>
            <w:tcW w:w="895"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52"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81" w:type="dxa"/>
            <w:tcBorders>
              <w:top w:val="nil"/>
              <w:left w:val="nil"/>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nil"/>
              <w:left w:val="nil"/>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nil"/>
              <w:left w:val="nil"/>
              <w:bottom w:val="single" w:color="auto"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652" w:type="dxa"/>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14</w:t>
            </w:r>
          </w:p>
        </w:tc>
        <w:tc>
          <w:tcPr>
            <w:tcW w:w="1665"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爱国主义教育长廊</w:t>
            </w:r>
          </w:p>
        </w:tc>
        <w:tc>
          <w:tcPr>
            <w:tcW w:w="895"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52"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781" w:type="dxa"/>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22" w:type="dxa"/>
            <w:tcBorders>
              <w:top w:val="single" w:color="auto" w:sz="4" w:space="0"/>
              <w:left w:val="nil"/>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59"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bl>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2"/>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6"/>
        <w:tblW w:w="991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61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112"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1</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活动时间</w:t>
            </w:r>
          </w:p>
        </w:tc>
        <w:tc>
          <w:tcPr>
            <w:tcW w:w="6112" w:type="dxa"/>
            <w:noWrap w:val="0"/>
            <w:vAlign w:val="top"/>
          </w:tcPr>
          <w:p>
            <w:pPr>
              <w:pStyle w:val="2"/>
              <w:keepNext w:val="0"/>
              <w:keepLines w:val="0"/>
              <w:pageBreakBefore w:val="0"/>
              <w:widowControl w:val="0"/>
              <w:kinsoku/>
              <w:wordWrap/>
              <w:overflowPunct/>
              <w:topLinePunct w:val="0"/>
              <w:autoSpaceDE/>
              <w:autoSpaceDN/>
              <w:bidi w:val="0"/>
              <w:spacing w:after="0" w:line="578" w:lineRule="exact"/>
              <w:ind w:left="0" w:leftChars="0" w:firstLine="0" w:firstLineChars="0"/>
              <w:textAlignment w:val="auto"/>
              <w:outlineLvl w:val="9"/>
              <w:rPr>
                <w:rFonts w:hint="default" w:ascii="仿宋_GB2312" w:hAnsi="仿宋_GB2312" w:eastAsia="仿宋_GB2312" w:cs="仿宋_GB2312"/>
                <w:kern w:val="0"/>
                <w:sz w:val="32"/>
                <w:szCs w:val="32"/>
                <w:lang w:val="en-US" w:eastAsia="zh-CN"/>
              </w:rPr>
            </w:pPr>
            <w:r>
              <w:rPr>
                <w:rFonts w:hint="default" w:ascii="Times New Roman" w:hAnsi="Times New Roman" w:cs="Times New Roman"/>
                <w:b w:val="0"/>
                <w:bCs w:val="0"/>
                <w:sz w:val="32"/>
                <w:szCs w:val="32"/>
                <w:lang w:val="en-US" w:eastAsia="zh-CN"/>
              </w:rPr>
              <w:t>2024年7月1</w:t>
            </w:r>
            <w:r>
              <w:rPr>
                <w:rFonts w:hint="eastAsia" w:ascii="Times New Roman" w:cs="Times New Roman"/>
                <w:b w:val="0"/>
                <w:bCs w:val="0"/>
                <w:sz w:val="32"/>
                <w:szCs w:val="32"/>
                <w:lang w:val="en-US" w:eastAsia="zh-CN"/>
              </w:rPr>
              <w:t>3</w:t>
            </w:r>
            <w:r>
              <w:rPr>
                <w:rFonts w:hint="default" w:ascii="Times New Roman" w:hAnsi="Times New Roman" w:cs="Times New Roman"/>
                <w:b w:val="0"/>
                <w:bCs w:val="0"/>
                <w:sz w:val="32"/>
                <w:szCs w:val="32"/>
                <w:lang w:val="en-US" w:eastAsia="zh-CN"/>
              </w:rPr>
              <w:t>日至8月</w:t>
            </w:r>
            <w:r>
              <w:rPr>
                <w:rFonts w:hint="eastAsia" w:ascii="Times New Roman" w:cs="Times New Roman"/>
                <w:b w:val="0"/>
                <w:bCs w:val="0"/>
                <w:sz w:val="32"/>
                <w:szCs w:val="32"/>
                <w:lang w:val="en-US" w:eastAsia="zh-CN"/>
              </w:rPr>
              <w:t>15</w:t>
            </w:r>
            <w:r>
              <w:rPr>
                <w:rFonts w:hint="default" w:ascii="Times New Roman" w:hAnsi="Times New Roman" w:cs="Times New Roman"/>
                <w:b w:val="0"/>
                <w:bCs w:val="0"/>
                <w:sz w:val="32"/>
                <w:szCs w:val="32"/>
                <w:lang w:val="en-US" w:eastAsia="zh-CN"/>
              </w:rPr>
              <w:t>日（为期</w:t>
            </w:r>
            <w:r>
              <w:rPr>
                <w:rFonts w:hint="eastAsia" w:ascii="Times New Roman" w:cs="Times New Roman"/>
                <w:b w:val="0"/>
                <w:bCs w:val="0"/>
                <w:sz w:val="32"/>
                <w:szCs w:val="32"/>
                <w:lang w:val="en-US" w:eastAsia="zh-CN"/>
              </w:rPr>
              <w:t>34</w:t>
            </w:r>
            <w:r>
              <w:rPr>
                <w:rFonts w:hint="default" w:ascii="Times New Roman" w:hAnsi="Times New Roman" w:cs="Times New Roman"/>
                <w:b w:val="0"/>
                <w:bCs w:val="0"/>
                <w:sz w:val="32"/>
                <w:szCs w:val="32"/>
                <w:lang w:val="en-US" w:eastAsia="zh-CN"/>
              </w:rPr>
              <w:t>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2</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color w:val="auto"/>
                <w:spacing w:val="0"/>
                <w:w w:val="100"/>
                <w:kern w:val="0"/>
                <w:position w:val="0"/>
                <w:sz w:val="32"/>
                <w:szCs w:val="32"/>
                <w:shd w:val="clear" w:color="auto" w:fill="auto"/>
                <w:lang w:val="zh-CN" w:eastAsia="en-US" w:bidi="en-US"/>
              </w:rPr>
            </w:pPr>
            <w:r>
              <w:rPr>
                <w:rFonts w:hint="eastAsia" w:ascii="仿宋_GB2312" w:hAnsi="仿宋_GB2312" w:eastAsia="仿宋_GB2312" w:cs="仿宋_GB2312"/>
                <w:kern w:val="0"/>
                <w:sz w:val="32"/>
                <w:szCs w:val="32"/>
                <w:lang w:val="zh-CN"/>
              </w:rPr>
              <w:t>款项支付方式、进度</w:t>
            </w:r>
          </w:p>
        </w:tc>
        <w:tc>
          <w:tcPr>
            <w:tcW w:w="6112" w:type="dxa"/>
            <w:noWrap w:val="0"/>
            <w:vAlign w:val="top"/>
          </w:tcPr>
          <w:p>
            <w:pPr>
              <w:shd w:val="clear" w:color="auto" w:fill="auto"/>
              <w:adjustRightInd w:val="0"/>
              <w:spacing w:line="320" w:lineRule="exact"/>
              <w:ind w:left="0" w:leftChars="0" w:right="0" w:rightChars="0" w:firstLine="0" w:firstLineChars="0"/>
              <w:jc w:val="both"/>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color w:val="auto"/>
                <w:spacing w:val="0"/>
                <w:w w:val="100"/>
                <w:kern w:val="0"/>
                <w:position w:val="0"/>
                <w:sz w:val="32"/>
                <w:szCs w:val="32"/>
                <w:shd w:val="clear" w:color="auto" w:fill="auto"/>
                <w:lang w:val="zh-CN" w:eastAsia="zh-CN" w:bidi="en-US"/>
              </w:rPr>
            </w:pPr>
            <w:r>
              <w:rPr>
                <w:rFonts w:hint="eastAsia" w:ascii="仿宋_GB2312" w:hAnsi="仿宋_GB2312" w:eastAsia="仿宋_GB2312" w:cs="仿宋_GB2312"/>
                <w:kern w:val="0"/>
                <w:sz w:val="32"/>
                <w:szCs w:val="32"/>
                <w:lang w:val="en-US" w:eastAsia="zh-CN"/>
              </w:rPr>
              <w:t>其它</w:t>
            </w:r>
          </w:p>
        </w:tc>
        <w:tc>
          <w:tcPr>
            <w:tcW w:w="6112"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eastAsia="zh-CN"/>
              </w:rPr>
            </w:pPr>
          </w:p>
        </w:tc>
      </w:tr>
    </w:tbl>
    <w:p>
      <w:pPr>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窦圌山景区爱国主义教育暨国防装备展览活动项目比选竞标函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我方全面研究了“窦圌山景区爱国主义教育暨国防装备展览活动项目”，决定参加贵单位组织的本次比选，并自觉遵守采购相关规定，遵守采购规则，维护正常的采购秩序。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5"/>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附件3：报价单</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采购项目名称：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tbl>
      <w:tblPr>
        <w:tblStyle w:val="16"/>
        <w:tblW w:w="996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5"/>
        <w:gridCol w:w="4625"/>
        <w:gridCol w:w="1955"/>
        <w:gridCol w:w="1216"/>
        <w:gridCol w:w="13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jc w:val="center"/>
        </w:trPr>
        <w:tc>
          <w:tcPr>
            <w:tcW w:w="78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序号</w:t>
            </w:r>
          </w:p>
        </w:tc>
        <w:tc>
          <w:tcPr>
            <w:tcW w:w="462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采购内容</w:t>
            </w:r>
          </w:p>
        </w:tc>
        <w:tc>
          <w:tcPr>
            <w:tcW w:w="195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w:t>
            </w:r>
          </w:p>
        </w:tc>
        <w:tc>
          <w:tcPr>
            <w:tcW w:w="121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w:t>
            </w:r>
          </w:p>
        </w:tc>
        <w:tc>
          <w:tcPr>
            <w:tcW w:w="138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jc w:val="center"/>
        </w:trPr>
        <w:tc>
          <w:tcPr>
            <w:tcW w:w="78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320" w:firstLineChars="1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tc>
        <w:tc>
          <w:tcPr>
            <w:tcW w:w="462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tc>
        <w:tc>
          <w:tcPr>
            <w:tcW w:w="195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tc>
        <w:tc>
          <w:tcPr>
            <w:tcW w:w="121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tc>
        <w:tc>
          <w:tcPr>
            <w:tcW w:w="138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9966" w:type="dxa"/>
            <w:gridSpan w:val="5"/>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供应商报价:</w:t>
            </w:r>
            <w:r>
              <w:rPr>
                <w:rFonts w:hint="eastAsia" w:ascii="仿宋" w:hAnsi="仿宋" w:eastAsia="仿宋" w:cs="仿宋"/>
                <w:sz w:val="32"/>
                <w:szCs w:val="32"/>
                <w:u w:val="single"/>
                <w:lang w:val="en-US" w:eastAsia="zh-CN"/>
              </w:rPr>
              <w:t xml:space="preserve">_________  </w:t>
            </w:r>
            <w:r>
              <w:rPr>
                <w:rFonts w:hint="eastAsia" w:ascii="仿宋" w:hAnsi="仿宋" w:eastAsia="仿宋" w:cs="仿宋"/>
                <w:sz w:val="32"/>
                <w:szCs w:val="32"/>
                <w:lang w:val="en-US" w:eastAsia="zh-CN"/>
              </w:rPr>
              <w:t xml:space="preserve">  (大写:</w:t>
            </w:r>
            <w:r>
              <w:rPr>
                <w:rFonts w:hint="eastAsia" w:ascii="仿宋" w:hAnsi="仿宋" w:eastAsia="仿宋" w:cs="仿宋"/>
                <w:sz w:val="32"/>
                <w:szCs w:val="32"/>
                <w:u w:val="single"/>
                <w:lang w:val="en-US" w:eastAsia="zh-CN"/>
              </w:rPr>
              <w:t xml:space="preserve">_________ </w:t>
            </w:r>
            <w:r>
              <w:rPr>
                <w:rFonts w:hint="eastAsia" w:ascii="仿宋" w:hAnsi="仿宋" w:eastAsia="仿宋" w:cs="仿宋"/>
                <w:sz w:val="32"/>
                <w:szCs w:val="32"/>
                <w:lang w:val="en-US" w:eastAsia="zh-CN"/>
              </w:rPr>
              <w:t>)</w:t>
            </w:r>
          </w:p>
        </w:tc>
      </w:tr>
    </w:tbl>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供应商名称（盖章）：</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法定代表人或授权代表（签字）：</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pStyle w:val="5"/>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6"/>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1667"/>
        <w:gridCol w:w="4802"/>
        <w:gridCol w:w="131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both"/>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1667"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4802"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3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zh-CN"/>
              </w:rPr>
              <w:t>1</w:t>
            </w:r>
          </w:p>
        </w:tc>
        <w:tc>
          <w:tcPr>
            <w:tcW w:w="1667"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default"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en-US" w:eastAsia="zh-CN"/>
              </w:rPr>
              <w:t>活动时间</w:t>
            </w:r>
          </w:p>
        </w:tc>
        <w:tc>
          <w:tcPr>
            <w:tcW w:w="4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default" w:ascii="宋体" w:hAnsi="宋体" w:eastAsia="宋体" w:cs="宋体"/>
                <w:spacing w:val="8"/>
                <w:sz w:val="24"/>
                <w:szCs w:val="24"/>
                <w:u w:val="none" w:color="auto"/>
                <w:lang w:val="en-US" w:eastAsia="zh-CN"/>
              </w:rPr>
            </w:pPr>
            <w:r>
              <w:rPr>
                <w:rFonts w:hint="default" w:ascii="宋体" w:hAnsi="宋体" w:eastAsia="宋体" w:cs="宋体"/>
                <w:spacing w:val="8"/>
                <w:sz w:val="24"/>
                <w:szCs w:val="24"/>
                <w:u w:val="none" w:color="auto"/>
                <w:lang w:val="en-US" w:eastAsia="zh-CN"/>
              </w:rPr>
              <w:t>2024年7月1</w:t>
            </w:r>
            <w:r>
              <w:rPr>
                <w:rFonts w:hint="eastAsia" w:ascii="宋体" w:hAnsi="宋体" w:eastAsia="宋体" w:cs="宋体"/>
                <w:spacing w:val="8"/>
                <w:sz w:val="24"/>
                <w:szCs w:val="24"/>
                <w:u w:val="none" w:color="auto"/>
                <w:lang w:val="en-US" w:eastAsia="zh-CN"/>
              </w:rPr>
              <w:t>3</w:t>
            </w:r>
            <w:r>
              <w:rPr>
                <w:rFonts w:hint="default" w:ascii="宋体" w:hAnsi="宋体" w:eastAsia="宋体" w:cs="宋体"/>
                <w:spacing w:val="8"/>
                <w:sz w:val="24"/>
                <w:szCs w:val="24"/>
                <w:u w:val="none" w:color="auto"/>
                <w:lang w:val="en-US" w:eastAsia="zh-CN"/>
              </w:rPr>
              <w:t>日至8月</w:t>
            </w:r>
            <w:r>
              <w:rPr>
                <w:rFonts w:hint="eastAsia" w:ascii="宋体" w:hAnsi="宋体" w:eastAsia="宋体" w:cs="宋体"/>
                <w:spacing w:val="8"/>
                <w:sz w:val="24"/>
                <w:szCs w:val="24"/>
                <w:u w:val="none" w:color="auto"/>
                <w:lang w:val="en-US" w:eastAsia="zh-CN"/>
              </w:rPr>
              <w:t>15</w:t>
            </w:r>
            <w:r>
              <w:rPr>
                <w:rFonts w:hint="default" w:ascii="宋体" w:hAnsi="宋体" w:eastAsia="宋体" w:cs="宋体"/>
                <w:spacing w:val="8"/>
                <w:sz w:val="24"/>
                <w:szCs w:val="24"/>
                <w:u w:val="none" w:color="auto"/>
                <w:lang w:val="en-US" w:eastAsia="zh-CN"/>
              </w:rPr>
              <w:t>日（为期</w:t>
            </w:r>
            <w:r>
              <w:rPr>
                <w:rFonts w:hint="eastAsia" w:ascii="宋体" w:hAnsi="宋体" w:eastAsia="宋体" w:cs="宋体"/>
                <w:spacing w:val="8"/>
                <w:sz w:val="24"/>
                <w:szCs w:val="24"/>
                <w:u w:val="none" w:color="auto"/>
                <w:lang w:val="en-US" w:eastAsia="zh-CN"/>
              </w:rPr>
              <w:t>34</w:t>
            </w:r>
            <w:r>
              <w:rPr>
                <w:rFonts w:hint="default" w:ascii="宋体" w:hAnsi="宋体" w:eastAsia="宋体" w:cs="宋体"/>
                <w:spacing w:val="8"/>
                <w:sz w:val="24"/>
                <w:szCs w:val="24"/>
                <w:u w:val="none" w:color="auto"/>
                <w:lang w:val="en-US" w:eastAsia="zh-CN"/>
              </w:rPr>
              <w:t>天）</w:t>
            </w: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zh-CN"/>
              </w:rPr>
              <w:t>2</w:t>
            </w:r>
          </w:p>
        </w:tc>
        <w:tc>
          <w:tcPr>
            <w:tcW w:w="1667"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zh-CN"/>
              </w:rPr>
              <w:t>款项支付方式、进度</w:t>
            </w:r>
          </w:p>
        </w:tc>
        <w:tc>
          <w:tcPr>
            <w:tcW w:w="48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en-US" w:eastAsia="zh-CN"/>
              </w:rPr>
              <w:t>详见附件8：合同主要条款</w:t>
            </w: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en-US" w:eastAsia="zh-CN"/>
              </w:rPr>
              <w:t>3</w:t>
            </w:r>
          </w:p>
        </w:tc>
        <w:tc>
          <w:tcPr>
            <w:tcW w:w="1667"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en-US" w:eastAsia="zh-CN"/>
              </w:rPr>
              <w:t>其它</w:t>
            </w:r>
          </w:p>
        </w:tc>
        <w:tc>
          <w:tcPr>
            <w:tcW w:w="4802"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pacing w:val="28"/>
          <w:sz w:val="24"/>
          <w:szCs w:val="24"/>
          <w:u w:val="none" w:color="auto"/>
        </w:rPr>
      </w:pPr>
    </w:p>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5"/>
        <w:ind w:firstLine="472" w:firstLineChars="200"/>
        <w:rPr>
          <w:rFonts w:hint="eastAsia" w:ascii="宋体" w:hAnsi="宋体" w:eastAsia="宋体" w:cs="宋体"/>
          <w:spacing w:val="-2"/>
          <w:sz w:val="24"/>
          <w:szCs w:val="24"/>
          <w:u w:val="none" w:color="auto"/>
          <w:lang w:val="en-US" w:eastAsia="zh-CN"/>
        </w:rPr>
      </w:pPr>
    </w:p>
    <w:p>
      <w:pPr>
        <w:pStyle w:val="5"/>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2"/>
        <w:rPr>
          <w:rFonts w:hint="eastAsia"/>
        </w:rPr>
      </w:pPr>
    </w:p>
    <w:p>
      <w:pPr>
        <w:rPr>
          <w:rFonts w:hint="eastAsia"/>
        </w:rPr>
      </w:pPr>
    </w:p>
    <w:p>
      <w:pPr>
        <w:pStyle w:val="2"/>
        <w:rPr>
          <w:rFonts w:hint="eastAsia"/>
        </w:rPr>
      </w:pPr>
    </w:p>
    <w:p>
      <w:pPr>
        <w:rPr>
          <w:rFonts w:hint="eastAsia"/>
        </w:rPr>
      </w:pPr>
    </w:p>
    <w:p>
      <w:pPr>
        <w:rPr>
          <w:rFonts w:hint="eastAsia"/>
        </w:rPr>
      </w:pPr>
    </w:p>
    <w:p>
      <w:pPr>
        <w:rPr>
          <w:rFonts w:hint="default"/>
          <w:lang w:val="en-US" w:eastAsia="zh-CN"/>
        </w:rPr>
      </w:pPr>
    </w:p>
    <w:p>
      <w:pPr>
        <w:pStyle w:val="5"/>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5"/>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2"/>
        <w:rPr>
          <w:rFonts w:hint="default"/>
          <w:lang w:val="en-US" w:eastAsia="zh-CN"/>
        </w:rPr>
      </w:pPr>
    </w:p>
    <w:p>
      <w:pPr>
        <w:pStyle w:val="5"/>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“窦圌山景区夜游项目方案设计服务项目”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5"/>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附件7：合同主要条款</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窦圌山景区爱国主义教育暨国防装备展览活动项目服务</w:t>
      </w:r>
      <w:r>
        <w:rPr>
          <w:rFonts w:hint="eastAsia" w:ascii="方正小标宋简体" w:hAnsi="方正小标宋简体" w:eastAsia="方正小标宋简体" w:cs="方正小标宋简体"/>
          <w:sz w:val="44"/>
          <w:szCs w:val="44"/>
        </w:rPr>
        <w:t>合同</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甲方：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统一社会信用代码：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甲乙双方在平等自愿、互惠互利，协商一致的基础上，就甲方</w:t>
      </w:r>
      <w:r>
        <w:rPr>
          <w:rFonts w:hint="eastAsia" w:ascii="仿宋_GB2312" w:hAnsi="仿宋_GB2312" w:eastAsia="仿宋_GB2312" w:cs="仿宋_GB2312"/>
          <w:sz w:val="32"/>
          <w:szCs w:val="32"/>
          <w:lang w:val="en-US" w:eastAsia="zh-CN"/>
        </w:rPr>
        <w:t>委托</w:t>
      </w:r>
      <w:r>
        <w:rPr>
          <w:rFonts w:hint="eastAsia" w:ascii="仿宋_GB2312" w:hAnsi="仿宋_GB2312" w:eastAsia="仿宋_GB2312" w:cs="仿宋_GB2312"/>
          <w:sz w:val="32"/>
          <w:szCs w:val="32"/>
        </w:rPr>
        <w:t>乙方办理活动策划、执行事宜，经双方友好协商，一致达成如下协议：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第一条</w:t>
      </w:r>
      <w:r>
        <w:rPr>
          <w:rFonts w:hint="eastAsia" w:ascii="黑体" w:hAnsi="黑体" w:eastAsia="黑体" w:cs="黑体"/>
          <w:sz w:val="32"/>
          <w:szCs w:val="32"/>
          <w:lang w:eastAsia="zh-CN"/>
        </w:rPr>
        <w:t>、</w:t>
      </w:r>
      <w:r>
        <w:rPr>
          <w:rFonts w:hint="eastAsia" w:ascii="黑体" w:hAnsi="黑体" w:eastAsia="黑体" w:cs="黑体"/>
          <w:sz w:val="32"/>
          <w:szCs w:val="32"/>
        </w:rPr>
        <w:t>委托事项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甲方委托乙方对</w:t>
      </w:r>
      <w:r>
        <w:rPr>
          <w:rFonts w:hint="eastAsia" w:ascii="仿宋_GB2312" w:hAnsi="仿宋_GB2312" w:eastAsia="仿宋_GB2312" w:cs="仿宋_GB2312"/>
          <w:sz w:val="32"/>
          <w:szCs w:val="32"/>
          <w:lang w:val="en-US" w:eastAsia="zh-CN"/>
        </w:rPr>
        <w:t xml:space="preserve"> 2024年窦圌山爱国主义教育暨国防装备展览提供项目服务</w:t>
      </w:r>
      <w:r>
        <w:rPr>
          <w:rFonts w:hint="eastAsia" w:ascii="仿宋_GB2312" w:hAnsi="仿宋_GB2312" w:eastAsia="仿宋_GB2312" w:cs="仿宋_GB2312"/>
          <w:sz w:val="32"/>
          <w:szCs w:val="32"/>
        </w:rPr>
        <w:t>等事宜（</w:t>
      </w:r>
      <w:r>
        <w:rPr>
          <w:rFonts w:hint="eastAsia" w:ascii="仿宋_GB2312" w:hAnsi="仿宋_GB2312" w:eastAsia="仿宋_GB2312" w:cs="仿宋_GB2312"/>
          <w:sz w:val="32"/>
          <w:szCs w:val="32"/>
          <w:lang w:eastAsia="zh-CN"/>
        </w:rPr>
        <w:t>项目细节</w:t>
      </w:r>
      <w:r>
        <w:rPr>
          <w:rFonts w:hint="eastAsia" w:ascii="仿宋_GB2312" w:hAnsi="仿宋_GB2312" w:eastAsia="仿宋_GB2312" w:cs="仿宋_GB2312"/>
          <w:sz w:val="32"/>
          <w:szCs w:val="32"/>
        </w:rPr>
        <w:t>见本合同附件），具体委托事项为：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、活动执行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乙方应在甲方指定的时间内进行现场摆放、安装、布置，并按合同约定进行相关活动安排等，最终完成本次</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任务。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其他为实现合同目的的事项。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第二条</w:t>
      </w:r>
      <w:r>
        <w:rPr>
          <w:rFonts w:hint="eastAsia" w:ascii="黑体" w:hAnsi="黑体" w:eastAsia="黑体" w:cs="黑体"/>
          <w:sz w:val="32"/>
          <w:szCs w:val="32"/>
          <w:lang w:eastAsia="zh-CN"/>
        </w:rPr>
        <w:t>、</w:t>
      </w:r>
      <w:r>
        <w:rPr>
          <w:rFonts w:hint="eastAsia" w:ascii="黑体" w:hAnsi="黑体" w:eastAsia="黑体" w:cs="黑体"/>
          <w:sz w:val="32"/>
          <w:szCs w:val="32"/>
        </w:rPr>
        <w:t>委托事项要求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1、甲方委托</w:t>
      </w:r>
      <w:r>
        <w:rPr>
          <w:rFonts w:hint="eastAsia" w:ascii="仿宋_GB2312" w:hAnsi="仿宋_GB2312" w:eastAsia="仿宋_GB2312" w:cs="仿宋_GB2312"/>
          <w:sz w:val="32"/>
          <w:szCs w:val="32"/>
        </w:rPr>
        <w:t>乙方在</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至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在窦圌山景区按照清单附件内容开展服务。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2、乙方在此次服务中所得的项目二次销售收入归乙方所有。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第三条</w:t>
      </w:r>
      <w:r>
        <w:rPr>
          <w:rFonts w:hint="eastAsia" w:ascii="黑体" w:hAnsi="黑体" w:eastAsia="黑体" w:cs="黑体"/>
          <w:sz w:val="32"/>
          <w:szCs w:val="32"/>
          <w:lang w:eastAsia="zh-CN"/>
        </w:rPr>
        <w:t>、</w:t>
      </w:r>
      <w:r>
        <w:rPr>
          <w:rFonts w:hint="eastAsia" w:ascii="黑体" w:hAnsi="黑体" w:eastAsia="黑体" w:cs="黑体"/>
          <w:sz w:val="32"/>
          <w:szCs w:val="32"/>
        </w:rPr>
        <w:t>合同价款及支付方式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1、本合同总价款共计人民币¥</w:t>
      </w:r>
      <w:r>
        <w:rPr>
          <w:rFonts w:hint="eastAsia" w:ascii="仿宋_GB2312" w:hAnsi="仿宋_GB2312" w:eastAsia="仿宋_GB2312" w:cs="仿宋_GB2312"/>
          <w:sz w:val="32"/>
          <w:szCs w:val="32"/>
          <w:lang w:val="en-US" w:eastAsia="zh-CN"/>
        </w:rPr>
        <w:t xml:space="preserve">  元</w:t>
      </w:r>
      <w:r>
        <w:rPr>
          <w:rFonts w:hint="eastAsia" w:ascii="仿宋_GB2312" w:hAnsi="仿宋_GB2312" w:eastAsia="仿宋_GB2312" w:cs="仿宋_GB2312"/>
          <w:sz w:val="32"/>
          <w:szCs w:val="32"/>
        </w:rPr>
        <w:t>（大写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。该价格</w:t>
      </w:r>
      <w:r>
        <w:rPr>
          <w:rFonts w:hint="eastAsia" w:ascii="仿宋_GB2312" w:hAnsi="仿宋_GB2312" w:eastAsia="仿宋_GB2312" w:cs="仿宋_GB2312"/>
          <w:sz w:val="32"/>
          <w:szCs w:val="32"/>
        </w:rPr>
        <w:t>包括乙方完成全部委托事项所需的活动策划费、物料</w:t>
      </w:r>
      <w:r>
        <w:rPr>
          <w:rFonts w:hint="eastAsia" w:ascii="仿宋_GB2312" w:hAnsi="仿宋_GB2312" w:eastAsia="仿宋_GB2312" w:cs="仿宋_GB2312"/>
          <w:sz w:val="32"/>
          <w:szCs w:val="32"/>
          <w:lang w:eastAsia="zh-CN"/>
        </w:rPr>
        <w:t>使用费、辅材</w:t>
      </w:r>
      <w:r>
        <w:rPr>
          <w:rFonts w:hint="eastAsia" w:ascii="仿宋_GB2312" w:hAnsi="仿宋_GB2312" w:eastAsia="仿宋_GB2312" w:cs="仿宋_GB2312"/>
          <w:sz w:val="32"/>
          <w:szCs w:val="32"/>
        </w:rPr>
        <w:t>采购费用、运输费、人工费、安装费、</w:t>
      </w:r>
      <w:r>
        <w:rPr>
          <w:rFonts w:hint="eastAsia" w:ascii="仿宋_GB2312" w:hAnsi="仿宋_GB2312" w:eastAsia="仿宋_GB2312" w:cs="仿宋_GB2312"/>
          <w:sz w:val="32"/>
          <w:szCs w:val="32"/>
          <w:lang w:eastAsia="zh-CN"/>
        </w:rPr>
        <w:t>税费</w:t>
      </w:r>
      <w:r>
        <w:rPr>
          <w:rFonts w:hint="eastAsia" w:ascii="仿宋_GB2312" w:hAnsi="仿宋_GB2312" w:eastAsia="仿宋_GB2312" w:cs="仿宋_GB2312"/>
          <w:sz w:val="32"/>
          <w:szCs w:val="32"/>
        </w:rPr>
        <w:t>等全部费用。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2、付款方式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本合同签订后</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个工作日内，甲方应向乙方支付</w:t>
      </w:r>
      <w:r>
        <w:rPr>
          <w:rFonts w:hint="eastAsia" w:ascii="仿宋_GB2312" w:hAnsi="仿宋_GB2312" w:eastAsia="仿宋_GB2312" w:cs="仿宋_GB2312"/>
          <w:sz w:val="32"/>
          <w:szCs w:val="32"/>
          <w:lang w:val="en-US" w:eastAsia="zh-CN"/>
        </w:rPr>
        <w:t>合同总金额的30%</w:t>
      </w:r>
      <w:r>
        <w:rPr>
          <w:rFonts w:hint="eastAsia" w:ascii="仿宋_GB2312" w:hAnsi="仿宋_GB2312" w:eastAsia="仿宋_GB2312" w:cs="仿宋_GB2312"/>
          <w:sz w:val="32"/>
          <w:szCs w:val="32"/>
        </w:rPr>
        <w:t>人民币¥</w:t>
      </w:r>
      <w:r>
        <w:rPr>
          <w:rFonts w:hint="eastAsia" w:ascii="仿宋_GB2312" w:hAnsi="仿宋_GB2312" w:eastAsia="仿宋_GB2312" w:cs="仿宋_GB2312"/>
          <w:sz w:val="32"/>
          <w:szCs w:val="32"/>
          <w:lang w:val="en-US" w:eastAsia="zh-CN"/>
        </w:rPr>
        <w:t xml:space="preserve"> 元</w:t>
      </w:r>
      <w:r>
        <w:rPr>
          <w:rFonts w:hint="eastAsia" w:ascii="仿宋_GB2312" w:hAnsi="仿宋_GB2312" w:eastAsia="仿宋_GB2312" w:cs="仿宋_GB2312"/>
          <w:sz w:val="32"/>
          <w:szCs w:val="32"/>
        </w:rPr>
        <w:t>（大写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）作为预付款，甲方支付预付款后，乙方开始履行受托事项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在活动开展后3个</w:t>
      </w:r>
      <w:r>
        <w:rPr>
          <w:rFonts w:hint="eastAsia" w:ascii="仿宋_GB2312" w:hAnsi="仿宋_GB2312" w:eastAsia="仿宋_GB2312" w:cs="仿宋_GB2312"/>
          <w:sz w:val="32"/>
          <w:szCs w:val="32"/>
        </w:rPr>
        <w:t>工作日以内，甲方向乙方支付</w:t>
      </w:r>
      <w:r>
        <w:rPr>
          <w:rFonts w:hint="eastAsia" w:ascii="仿宋_GB2312" w:hAnsi="仿宋_GB2312" w:eastAsia="仿宋_GB2312" w:cs="仿宋_GB2312"/>
          <w:sz w:val="32"/>
          <w:szCs w:val="32"/>
          <w:lang w:val="en-US" w:eastAsia="zh-CN"/>
        </w:rPr>
        <w:t>合同总金额的</w:t>
      </w:r>
      <w:r>
        <w:rPr>
          <w:rFonts w:hint="eastAsia" w:ascii="仿宋_GB2312" w:hAnsi="仿宋_GB2312" w:eastAsia="仿宋_GB2312" w:cs="仿宋_GB2312"/>
          <w:sz w:val="32"/>
          <w:szCs w:val="32"/>
        </w:rPr>
        <w:t>人民币</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（大写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作为进度款，活动结束后7个工作日内</w:t>
      </w:r>
      <w:r>
        <w:rPr>
          <w:rFonts w:hint="eastAsia" w:ascii="仿宋_GB2312" w:hAnsi="仿宋_GB2312" w:eastAsia="仿宋_GB2312" w:cs="仿宋_GB2312"/>
          <w:sz w:val="32"/>
          <w:szCs w:val="32"/>
        </w:rPr>
        <w:t>甲方向乙方支付</w:t>
      </w:r>
      <w:r>
        <w:rPr>
          <w:rFonts w:hint="eastAsia" w:ascii="仿宋_GB2312" w:hAnsi="仿宋_GB2312" w:eastAsia="仿宋_GB2312" w:cs="仿宋_GB2312"/>
          <w:sz w:val="32"/>
          <w:szCs w:val="32"/>
          <w:lang w:val="en-US" w:eastAsia="zh-CN"/>
        </w:rPr>
        <w:t>合同总金额的40%</w:t>
      </w:r>
      <w:r>
        <w:rPr>
          <w:rFonts w:hint="eastAsia" w:ascii="仿宋_GB2312" w:hAnsi="仿宋_GB2312" w:eastAsia="仿宋_GB2312" w:cs="仿宋_GB2312"/>
          <w:sz w:val="32"/>
          <w:szCs w:val="32"/>
        </w:rPr>
        <w:t>人民币¥</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（大写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的尾款</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乙方指定以下账号为本合同收款账号，乙方账号变更的，应及时通知甲方，因乙方原因导致甲方向原指定账户转账的，应视为乙方已收到该笔款项。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乙方指定账号：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户    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账    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开 户 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甲方开票信息：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称：四川江油画屏尚景景区管理有限责任公司</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统一社会信用代码：91510781MA680DYC5Q</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地</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址：</w:t>
      </w:r>
      <w:r>
        <w:rPr>
          <w:rFonts w:hint="eastAsia" w:ascii="仿宋_GB2312" w:hAnsi="仿宋_GB2312" w:eastAsia="仿宋_GB2312" w:cs="仿宋_GB2312"/>
          <w:sz w:val="32"/>
          <w:szCs w:val="32"/>
          <w:lang w:val="en-US" w:eastAsia="zh-CN"/>
        </w:rPr>
        <w:t>四川江油市太平镇桃源路576号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电</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话:</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0816-3</w:t>
      </w:r>
      <w:r>
        <w:rPr>
          <w:rFonts w:hint="eastAsia" w:ascii="仿宋_GB2312" w:hAnsi="仿宋_GB2312" w:eastAsia="仿宋_GB2312" w:cs="仿宋_GB2312"/>
          <w:sz w:val="32"/>
          <w:szCs w:val="32"/>
          <w:lang w:val="en-US" w:eastAsia="zh-CN"/>
        </w:rPr>
        <w:t>879666</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开</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户</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行：</w:t>
      </w:r>
      <w:r>
        <w:rPr>
          <w:rFonts w:hint="eastAsia" w:ascii="仿宋_GB2312" w:hAnsi="仿宋_GB2312" w:eastAsia="仿宋_GB2312" w:cs="仿宋_GB2312"/>
          <w:sz w:val="32"/>
          <w:szCs w:val="32"/>
          <w:lang w:val="en-US" w:eastAsia="zh-CN"/>
        </w:rPr>
        <w:t>中国农业发展银行江油市支行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开户账号：</w:t>
      </w:r>
      <w:r>
        <w:rPr>
          <w:rFonts w:hint="eastAsia" w:ascii="仿宋_GB2312" w:hAnsi="仿宋_GB2312" w:eastAsia="仿宋_GB2312" w:cs="仿宋_GB2312"/>
          <w:sz w:val="32"/>
          <w:szCs w:val="32"/>
          <w:lang w:val="en-US" w:eastAsia="zh-CN"/>
        </w:rPr>
        <w:t>20351078100100000254571</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乙方应在甲方每次付款前，向甲方提供合法有效的与付款金额一致的增值税专用发票，因乙方提供给的发票不符合约定导致甲方迟延付款的，甲方不承担违约责任。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四</w:t>
      </w:r>
      <w:r>
        <w:rPr>
          <w:rFonts w:hint="eastAsia" w:ascii="黑体" w:hAnsi="黑体" w:eastAsia="黑体" w:cs="黑体"/>
          <w:sz w:val="32"/>
          <w:szCs w:val="32"/>
        </w:rPr>
        <w:t>条</w:t>
      </w:r>
      <w:r>
        <w:rPr>
          <w:rFonts w:hint="eastAsia" w:ascii="黑体" w:hAnsi="黑体" w:eastAsia="黑体" w:cs="黑体"/>
          <w:sz w:val="32"/>
          <w:szCs w:val="32"/>
          <w:lang w:eastAsia="zh-CN"/>
        </w:rPr>
        <w:t>、</w:t>
      </w:r>
      <w:r>
        <w:rPr>
          <w:rFonts w:hint="eastAsia" w:ascii="黑体" w:hAnsi="黑体" w:eastAsia="黑体" w:cs="黑体"/>
          <w:sz w:val="32"/>
          <w:szCs w:val="32"/>
        </w:rPr>
        <w:t>双方的权利和义务</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（一）甲方的权利和义务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1、甲方有权根据本合同所约定的内容及标准，在不影响乙方工作的前提下检查乙方提供的服务质量，如乙方提供的服务质量不符合本合同的约定，甲方有权要求乙方在指定时间内做出补充或修正。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2、甲方必须依据本合同规定，按时足额向乙方支付服务款项。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3、合同执行过程中，甲方如需变更项目计划，应提前7个工作日以书面形式告知乙方，由于变更所产生的费用及损失由甲方承担，并同意乙方将执行周期予以合理顺延。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4、甲方向乙方提供抖音账号关于此次活动的二次销售产品上架服务，在活动结束后所有销售金额扣除相关手续费用并收到乙方开具相应金额发票后，甲方通过对公账户一次性向乙方指定账户支付对应发票金额。</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（二）乙方的权利和义务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1、乙方必须按合同约定的服务内容及标准向甲方提供相关服务，对于不符合合同约定的物料、</w:t>
      </w:r>
      <w:r>
        <w:rPr>
          <w:rFonts w:hint="eastAsia" w:ascii="仿宋_GB2312" w:hAnsi="仿宋_GB2312" w:eastAsia="仿宋_GB2312" w:cs="仿宋_GB2312"/>
          <w:sz w:val="32"/>
          <w:szCs w:val="32"/>
          <w:lang w:val="en-US" w:eastAsia="zh-CN"/>
        </w:rPr>
        <w:t>设备</w:t>
      </w:r>
      <w:r>
        <w:rPr>
          <w:rFonts w:hint="eastAsia" w:ascii="仿宋_GB2312" w:hAnsi="仿宋_GB2312" w:eastAsia="仿宋_GB2312" w:cs="仿宋_GB2312"/>
          <w:sz w:val="32"/>
          <w:szCs w:val="32"/>
        </w:rPr>
        <w:t>等，甲方有权扣减该部分费用。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、乙方有权要求甲方按时足额支付项目费用。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乙方负责活动执行过程中的安全，物料搭建等因按照甲方指定位置进行搭建安装、摆放并符合安全标准，若因安装、摆放不符合要求或产生安全隐患，导致自身或第三人人身伤害、财产损失的，均由乙方自行承担责任，若累及甲方承担责任的，甲方有权向乙方追偿</w:t>
      </w:r>
      <w:r>
        <w:rPr>
          <w:rFonts w:hint="eastAsia" w:ascii="仿宋_GB2312" w:hAnsi="仿宋_GB2312" w:eastAsia="仿宋_GB2312" w:cs="仿宋_GB2312"/>
          <w:sz w:val="32"/>
          <w:szCs w:val="32"/>
          <w:lang w:val="en-US" w:eastAsia="zh-Hans"/>
        </w:rPr>
        <w:t>，乙方应在收到甲方通知后三日内将款项支付给甲方</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条：违约责任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乙方应按合同约定时间完成各阶段受托事项，否则，一旦延迟，甲方有权立即单方解除本合同，合同解除后，乙方将向甲方退回全部已收款项，并承担合同总价20%的违约金。但甲方书面同意延迟或因甲方原因导致延迟的，乙方不承担违约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2、因乙方提供的服务</w:t>
      </w:r>
      <w:r>
        <w:rPr>
          <w:rFonts w:hint="eastAsia" w:ascii="仿宋_GB2312" w:hAnsi="仿宋_GB2312" w:eastAsia="仿宋_GB2312" w:cs="仿宋_GB2312"/>
          <w:sz w:val="32"/>
          <w:szCs w:val="32"/>
        </w:rPr>
        <w:t>质量不符合本合同的约定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且未在甲方指定</w:t>
      </w:r>
      <w:r>
        <w:rPr>
          <w:rFonts w:hint="eastAsia" w:ascii="仿宋_GB2312" w:hAnsi="仿宋_GB2312" w:eastAsia="仿宋_GB2312" w:cs="仿宋_GB2312"/>
          <w:sz w:val="32"/>
          <w:szCs w:val="32"/>
        </w:rPr>
        <w:t>时间内做出补充或修正</w:t>
      </w:r>
      <w:r>
        <w:rPr>
          <w:rFonts w:hint="eastAsia" w:ascii="仿宋_GB2312" w:hAnsi="仿宋_GB2312" w:eastAsia="仿宋_GB2312" w:cs="仿宋_GB2312"/>
          <w:sz w:val="32"/>
          <w:szCs w:val="32"/>
          <w:lang w:val="en-US" w:eastAsia="zh-CN"/>
        </w:rPr>
        <w:t>的，或者在指定时间内作出补充或修正，仍不符合本合同约定的，</w:t>
      </w:r>
      <w:r>
        <w:rPr>
          <w:rFonts w:hint="eastAsia" w:ascii="仿宋_GB2312" w:hAnsi="仿宋_GB2312" w:eastAsia="仿宋_GB2312" w:cs="仿宋_GB2312"/>
          <w:sz w:val="32"/>
          <w:szCs w:val="32"/>
        </w:rPr>
        <w:t>甲方有权立即单方解除本合同，合同解除后，乙方将向甲方退回全部已收款项，并承担合同总价20%的违约金。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、如甲方未能在本合同约定时间内支付尾款，每延迟一天，甲方须向乙方承担迟延支付费用万分之</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作为违约金，并将执行周期予以相应顺延。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违约方应支付守约方的损失包括但不限于违约金、诉讼费、律师费、保全担保保险费等。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条</w:t>
      </w:r>
      <w:r>
        <w:rPr>
          <w:rFonts w:hint="eastAsia" w:ascii="黑体" w:hAnsi="黑体" w:eastAsia="黑体" w:cs="黑体"/>
          <w:sz w:val="32"/>
          <w:szCs w:val="32"/>
          <w:lang w:eastAsia="zh-CN"/>
        </w:rPr>
        <w:t>、</w:t>
      </w:r>
      <w:r>
        <w:rPr>
          <w:rFonts w:hint="eastAsia" w:ascii="黑体" w:hAnsi="黑体" w:eastAsia="黑体" w:cs="黑体"/>
          <w:sz w:val="32"/>
          <w:szCs w:val="32"/>
        </w:rPr>
        <w:t>知识产权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在本合同执行过程中而产生的广告作品</w:t>
      </w:r>
      <w:r>
        <w:rPr>
          <w:rFonts w:hint="eastAsia" w:ascii="仿宋_GB2312" w:hAnsi="仿宋_GB2312" w:eastAsia="仿宋_GB2312" w:cs="仿宋_GB2312"/>
          <w:sz w:val="32"/>
          <w:szCs w:val="32"/>
          <w:lang w:val="en-US" w:eastAsia="zh-CN"/>
        </w:rPr>
        <w:t>知识产</w:t>
      </w:r>
      <w:r>
        <w:rPr>
          <w:rFonts w:hint="eastAsia" w:ascii="仿宋_GB2312" w:hAnsi="仿宋_GB2312" w:eastAsia="仿宋_GB2312" w:cs="仿宋_GB2312"/>
          <w:sz w:val="32"/>
          <w:szCs w:val="32"/>
        </w:rPr>
        <w:t>权</w:t>
      </w:r>
      <w:r>
        <w:rPr>
          <w:rFonts w:hint="eastAsia" w:ascii="仿宋_GB2312" w:hAnsi="仿宋_GB2312" w:eastAsia="仿宋_GB2312" w:cs="仿宋_GB2312"/>
          <w:sz w:val="32"/>
          <w:szCs w:val="32"/>
          <w:lang w:val="en-US" w:eastAsia="zh-CN"/>
        </w:rPr>
        <w:t>归</w:t>
      </w:r>
      <w:r>
        <w:rPr>
          <w:rFonts w:hint="eastAsia" w:ascii="仿宋_GB2312" w:hAnsi="仿宋_GB2312" w:eastAsia="仿宋_GB2312" w:cs="仿宋_GB2312"/>
          <w:sz w:val="32"/>
          <w:szCs w:val="32"/>
        </w:rPr>
        <w:t>甲方所有，即由甲方委托乙方设计制作的广告作品</w:t>
      </w:r>
      <w:r>
        <w:rPr>
          <w:rFonts w:hint="eastAsia" w:ascii="仿宋_GB2312" w:hAnsi="仿宋_GB2312" w:eastAsia="仿宋_GB2312" w:cs="仿宋_GB2312"/>
          <w:sz w:val="32"/>
          <w:szCs w:val="32"/>
          <w:lang w:val="en-US" w:eastAsia="zh-CN"/>
        </w:rPr>
        <w:t>知识产</w:t>
      </w:r>
      <w:r>
        <w:rPr>
          <w:rFonts w:hint="eastAsia" w:ascii="仿宋_GB2312" w:hAnsi="仿宋_GB2312" w:eastAsia="仿宋_GB2312" w:cs="仿宋_GB2312"/>
          <w:sz w:val="32"/>
          <w:szCs w:val="32"/>
        </w:rPr>
        <w:t>权（包括且不限于背景板、幕布等）归甲方所有。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条</w:t>
      </w:r>
      <w:r>
        <w:rPr>
          <w:rFonts w:hint="eastAsia" w:ascii="黑体" w:hAnsi="黑体" w:eastAsia="黑体" w:cs="黑体"/>
          <w:sz w:val="32"/>
          <w:szCs w:val="32"/>
          <w:lang w:eastAsia="zh-CN"/>
        </w:rPr>
        <w:t>、</w:t>
      </w:r>
      <w:r>
        <w:rPr>
          <w:rFonts w:hint="eastAsia" w:ascii="黑体" w:hAnsi="黑体" w:eastAsia="黑体" w:cs="黑体"/>
          <w:sz w:val="32"/>
          <w:szCs w:val="32"/>
        </w:rPr>
        <w:t>保密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同意不得使第三人接触或向第三人揭露上述商业秘密，也不得为本协议之外的任何其它目的利用该商业秘密。双方承诺，本保密义务延及其员工，任何一方员工违法本保密义务的，该方同样应承担全部法律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八</w:t>
      </w:r>
      <w:r>
        <w:rPr>
          <w:rFonts w:hint="eastAsia" w:ascii="黑体" w:hAnsi="黑体" w:eastAsia="黑体" w:cs="黑体"/>
          <w:sz w:val="32"/>
          <w:szCs w:val="32"/>
        </w:rPr>
        <w:t>条</w:t>
      </w:r>
      <w:r>
        <w:rPr>
          <w:rFonts w:hint="eastAsia" w:ascii="黑体" w:hAnsi="黑体" w:eastAsia="黑体" w:cs="黑体"/>
          <w:sz w:val="32"/>
          <w:szCs w:val="32"/>
          <w:lang w:eastAsia="zh-CN"/>
        </w:rPr>
        <w:t>、</w:t>
      </w:r>
      <w:r>
        <w:rPr>
          <w:rFonts w:hint="eastAsia" w:ascii="黑体" w:hAnsi="黑体" w:eastAsia="黑体" w:cs="黑体"/>
          <w:sz w:val="32"/>
          <w:szCs w:val="32"/>
        </w:rPr>
        <w:t>免责声明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出现下列情况导致本合同不能履行的，乙方不承担任何责任：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1、由于不可抗力（包括瘟疫、地震、台风、洪水、火灾、战争、罢工、政府禁令以及双方均不可预见、不能控制的事情或情况）导致本协议不能履行的。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2、甲方不正当使用项目产品导致自身及他方损失的。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3、由于天气原因导致合同约定内容发生改变或者取消的，甲方不承担任何责任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九</w:t>
      </w:r>
      <w:r>
        <w:rPr>
          <w:rFonts w:hint="eastAsia" w:ascii="黑体" w:hAnsi="黑体" w:eastAsia="黑体" w:cs="黑体"/>
          <w:sz w:val="32"/>
          <w:szCs w:val="32"/>
        </w:rPr>
        <w:t>条</w:t>
      </w:r>
      <w:r>
        <w:rPr>
          <w:rFonts w:hint="eastAsia" w:ascii="黑体" w:hAnsi="黑体" w:eastAsia="黑体" w:cs="黑体"/>
          <w:sz w:val="32"/>
          <w:szCs w:val="32"/>
          <w:lang w:eastAsia="zh-CN"/>
        </w:rPr>
        <w:t>、</w:t>
      </w:r>
      <w:r>
        <w:rPr>
          <w:rFonts w:hint="eastAsia" w:ascii="黑体" w:hAnsi="黑体" w:eastAsia="黑体" w:cs="黑体"/>
          <w:sz w:val="32"/>
          <w:szCs w:val="32"/>
        </w:rPr>
        <w:t>争议解决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执行本合同过程中发生争议，应友好协商解决，协商不成的，任何一方</w:t>
      </w:r>
      <w:r>
        <w:rPr>
          <w:rFonts w:hint="eastAsia" w:ascii="仿宋_GB2312" w:hAnsi="仿宋_GB2312" w:eastAsia="仿宋_GB2312" w:cs="仿宋_GB2312"/>
          <w:sz w:val="32"/>
          <w:szCs w:val="32"/>
          <w:lang w:eastAsia="zh-CN"/>
        </w:rPr>
        <w:t>应向甲方所在地人民</w:t>
      </w:r>
      <w:r>
        <w:rPr>
          <w:rFonts w:hint="eastAsia" w:ascii="仿宋_GB2312" w:hAnsi="仿宋_GB2312" w:eastAsia="仿宋_GB2312" w:cs="仿宋_GB2312"/>
          <w:sz w:val="32"/>
          <w:szCs w:val="32"/>
        </w:rPr>
        <w:t>法院提起诉讼。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第十条</w:t>
      </w:r>
      <w:r>
        <w:rPr>
          <w:rFonts w:hint="eastAsia" w:ascii="黑体" w:hAnsi="黑体" w:eastAsia="黑体" w:cs="黑体"/>
          <w:sz w:val="32"/>
          <w:szCs w:val="32"/>
          <w:lang w:eastAsia="zh-CN"/>
        </w:rPr>
        <w:t>、</w:t>
      </w:r>
      <w:r>
        <w:rPr>
          <w:rFonts w:hint="eastAsia" w:ascii="黑体" w:hAnsi="黑体" w:eastAsia="黑体" w:cs="黑体"/>
          <w:sz w:val="32"/>
          <w:szCs w:val="32"/>
        </w:rPr>
        <w:t>其他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w:t>
      </w:r>
      <w:r>
        <w:rPr>
          <w:rFonts w:hint="eastAsia" w:ascii="仿宋_GB2312" w:hAnsi="仿宋_GB2312" w:eastAsia="仿宋_GB2312" w:cs="仿宋_GB2312"/>
          <w:sz w:val="32"/>
          <w:szCs w:val="32"/>
          <w:lang w:val="en-US" w:eastAsia="zh-CN"/>
        </w:rPr>
        <w:t>自</w:t>
      </w:r>
      <w:r>
        <w:rPr>
          <w:rFonts w:hint="eastAsia" w:ascii="仿宋_GB2312" w:hAnsi="仿宋_GB2312" w:eastAsia="仿宋_GB2312" w:cs="仿宋_GB2312"/>
          <w:sz w:val="32"/>
          <w:szCs w:val="32"/>
        </w:rPr>
        <w:t>甲乙双方签</w:t>
      </w:r>
      <w:r>
        <w:rPr>
          <w:rFonts w:hint="eastAsia" w:ascii="仿宋_GB2312" w:hAnsi="仿宋_GB2312" w:eastAsia="仿宋_GB2312" w:cs="仿宋_GB2312"/>
          <w:sz w:val="32"/>
          <w:szCs w:val="32"/>
          <w:lang w:eastAsia="zh-CN"/>
        </w:rPr>
        <w:t>名</w:t>
      </w:r>
      <w:r>
        <w:rPr>
          <w:rFonts w:hint="eastAsia" w:ascii="仿宋_GB2312" w:hAnsi="仿宋_GB2312" w:eastAsia="仿宋_GB2312" w:cs="仿宋_GB2312"/>
          <w:sz w:val="32"/>
          <w:szCs w:val="32"/>
        </w:rPr>
        <w:t>盖章之日起生效，未尽事宜，双方另行协商。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2、本合同壹式贰份，甲</w:t>
      </w:r>
      <w:r>
        <w:rPr>
          <w:rFonts w:hint="eastAsia" w:ascii="仿宋_GB2312" w:hAnsi="仿宋_GB2312" w:eastAsia="仿宋_GB2312" w:cs="仿宋_GB2312"/>
          <w:sz w:val="32"/>
          <w:szCs w:val="32"/>
          <w:lang w:val="en-US" w:eastAsia="zh-CN"/>
        </w:rPr>
        <w:t>乙双方各执</w:t>
      </w:r>
      <w:r>
        <w:rPr>
          <w:rFonts w:hint="eastAsia" w:ascii="仿宋_GB2312" w:hAnsi="仿宋_GB2312" w:eastAsia="仿宋_GB2312" w:cs="仿宋_GB2312"/>
          <w:sz w:val="32"/>
          <w:szCs w:val="32"/>
        </w:rPr>
        <w:t>壹份，具有同等法律效力。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3、本合同执行过程中，所有附件和补充协议等一经甲乙双方签字即成为本合同的有效组成部分，与本合同具有同等法律效力。</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（盖章）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eastAsia="zh-CN"/>
        </w:rPr>
        <w:t>（盖章）</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lang w:eastAsia="zh-CN"/>
        </w:rPr>
        <w:t>签字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lang w:eastAsia="zh-CN"/>
        </w:rPr>
        <w:t>签字</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签约日期：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签约日期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tbl>
      <w:tblPr>
        <w:tblStyle w:val="8"/>
        <w:tblW w:w="96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7"/>
        <w:gridCol w:w="2327"/>
        <w:gridCol w:w="922"/>
        <w:gridCol w:w="1081"/>
        <w:gridCol w:w="991"/>
        <w:gridCol w:w="1118"/>
        <w:gridCol w:w="1340"/>
        <w:gridCol w:w="10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9680" w:type="dxa"/>
            <w:gridSpan w:val="8"/>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国防装备展展览服务清单明细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序号</w:t>
            </w:r>
          </w:p>
        </w:tc>
        <w:tc>
          <w:tcPr>
            <w:tcW w:w="2327"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名称</w:t>
            </w:r>
          </w:p>
        </w:tc>
        <w:tc>
          <w:tcPr>
            <w:tcW w:w="922"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数量</w:t>
            </w:r>
          </w:p>
        </w:tc>
        <w:tc>
          <w:tcPr>
            <w:tcW w:w="1081"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单位</w:t>
            </w:r>
          </w:p>
        </w:tc>
        <w:tc>
          <w:tcPr>
            <w:tcW w:w="991"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人员配置</w:t>
            </w:r>
          </w:p>
        </w:tc>
        <w:tc>
          <w:tcPr>
            <w:tcW w:w="1118"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岗位</w:t>
            </w:r>
          </w:p>
        </w:tc>
        <w:tc>
          <w:tcPr>
            <w:tcW w:w="1340"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时间（天）</w:t>
            </w:r>
          </w:p>
        </w:tc>
        <w:tc>
          <w:tcPr>
            <w:tcW w:w="1074" w:type="dxa"/>
            <w:tcBorders>
              <w:top w:val="single" w:color="000000" w:sz="8" w:space="0"/>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动态装甲车</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辆</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驾驶员</w:t>
            </w: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动态坦克</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辆</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驾驶员</w:t>
            </w: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静态飞机（3架）</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套</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1074"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体验高炮</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台</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教官</w:t>
            </w: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大炮</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台</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迫击炮</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组</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火箭筒</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组</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气泡枪</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组</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手榴弹</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300</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个</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射击体验</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组</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教官</w:t>
            </w: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动态小坦克</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辆</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驾驶员/安全员</w:t>
            </w: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w:t>
            </w:r>
          </w:p>
        </w:tc>
        <w:tc>
          <w:tcPr>
            <w:tcW w:w="2327"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VR射击体验舱</w:t>
            </w:r>
          </w:p>
        </w:tc>
        <w:tc>
          <w:tcPr>
            <w:tcW w:w="922"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p>
        </w:tc>
        <w:tc>
          <w:tcPr>
            <w:tcW w:w="108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个</w:t>
            </w:r>
          </w:p>
        </w:tc>
        <w:tc>
          <w:tcPr>
            <w:tcW w:w="991"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nil"/>
              <w:left w:val="nil"/>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000000" w:sz="8"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nil"/>
              <w:left w:val="single" w:color="000000" w:sz="8" w:space="0"/>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p>
        </w:tc>
        <w:tc>
          <w:tcPr>
            <w:tcW w:w="2327" w:type="dxa"/>
            <w:tcBorders>
              <w:top w:val="nil"/>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水炸点（6组）</w:t>
            </w:r>
          </w:p>
        </w:tc>
        <w:tc>
          <w:tcPr>
            <w:tcW w:w="922" w:type="dxa"/>
            <w:tcBorders>
              <w:top w:val="nil"/>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p>
        </w:tc>
        <w:tc>
          <w:tcPr>
            <w:tcW w:w="1081" w:type="dxa"/>
            <w:tcBorders>
              <w:top w:val="nil"/>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套</w:t>
            </w:r>
          </w:p>
        </w:tc>
        <w:tc>
          <w:tcPr>
            <w:tcW w:w="991" w:type="dxa"/>
            <w:tcBorders>
              <w:top w:val="nil"/>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nil"/>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nil"/>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w:t>
            </w:r>
          </w:p>
        </w:tc>
        <w:tc>
          <w:tcPr>
            <w:tcW w:w="0" w:type="auto"/>
            <w:tcBorders>
              <w:top w:val="nil"/>
              <w:left w:val="nil"/>
              <w:bottom w:val="single" w:color="auto" w:sz="4" w:space="0"/>
              <w:right w:val="single" w:color="000000" w:sz="8"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827" w:type="dxa"/>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w:t>
            </w:r>
          </w:p>
        </w:tc>
        <w:tc>
          <w:tcPr>
            <w:tcW w:w="2327" w:type="dxa"/>
            <w:tcBorders>
              <w:top w:val="single" w:color="auto" w:sz="4" w:space="0"/>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爱国主义教育长廊</w:t>
            </w:r>
          </w:p>
        </w:tc>
        <w:tc>
          <w:tcPr>
            <w:tcW w:w="922" w:type="dxa"/>
            <w:tcBorders>
              <w:top w:val="single" w:color="auto" w:sz="4" w:space="0"/>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081" w:type="dxa"/>
            <w:tcBorders>
              <w:top w:val="single" w:color="auto" w:sz="4" w:space="0"/>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套</w:t>
            </w:r>
          </w:p>
        </w:tc>
        <w:tc>
          <w:tcPr>
            <w:tcW w:w="991" w:type="dxa"/>
            <w:tcBorders>
              <w:top w:val="single" w:color="auto" w:sz="4" w:space="0"/>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118" w:type="dxa"/>
            <w:tcBorders>
              <w:top w:val="single" w:color="auto" w:sz="4" w:space="0"/>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c>
          <w:tcPr>
            <w:tcW w:w="1340" w:type="dxa"/>
            <w:tcBorders>
              <w:top w:val="single" w:color="auto" w:sz="4" w:space="0"/>
              <w:left w:val="nil"/>
              <w:bottom w:val="single" w:color="auto" w:sz="4"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34</w:t>
            </w:r>
          </w:p>
        </w:tc>
        <w:tc>
          <w:tcPr>
            <w:tcW w:w="0" w:type="auto"/>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A39C131-123D-47CE-B9CC-2A6F6B3652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328198D7-2F3A-4309-9E07-5952EAE14581}"/>
  </w:font>
  <w:font w:name="仿宋">
    <w:panose1 w:val="02010609060101010101"/>
    <w:charset w:val="86"/>
    <w:family w:val="auto"/>
    <w:pitch w:val="default"/>
    <w:sig w:usb0="800002BF" w:usb1="38CF7CFA" w:usb2="00000016" w:usb3="00000000" w:csb0="00040001" w:csb1="00000000"/>
    <w:embedRegular r:id="rId3" w:fontKey="{9D3C25E0-9082-4D0A-BE2C-D11F07D2FC59}"/>
  </w:font>
  <w:font w:name="楷体_GB2312">
    <w:panose1 w:val="02010609030101010101"/>
    <w:charset w:val="86"/>
    <w:family w:val="auto"/>
    <w:pitch w:val="default"/>
    <w:sig w:usb0="00000001" w:usb1="080E0000" w:usb2="00000000" w:usb3="00000000" w:csb0="00040000" w:csb1="00000000"/>
    <w:embedRegular r:id="rId4" w:fontKey="{1FED85DB-8CAF-4344-A537-779DF279CEAA}"/>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6"/>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66"/>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AA22E5"/>
    <w:rsid w:val="11672464"/>
    <w:rsid w:val="12853ED2"/>
    <w:rsid w:val="134768DF"/>
    <w:rsid w:val="14224BF0"/>
    <w:rsid w:val="161B669A"/>
    <w:rsid w:val="192B21B3"/>
    <w:rsid w:val="19E5114C"/>
    <w:rsid w:val="241724D8"/>
    <w:rsid w:val="25CE1DB0"/>
    <w:rsid w:val="2BE21A2F"/>
    <w:rsid w:val="2FAD1DCC"/>
    <w:rsid w:val="300C3A87"/>
    <w:rsid w:val="33426DD3"/>
    <w:rsid w:val="34086058"/>
    <w:rsid w:val="360C0D29"/>
    <w:rsid w:val="361719C1"/>
    <w:rsid w:val="370D2B2E"/>
    <w:rsid w:val="37512F06"/>
    <w:rsid w:val="40E964C7"/>
    <w:rsid w:val="462772E2"/>
    <w:rsid w:val="47044A64"/>
    <w:rsid w:val="499910CF"/>
    <w:rsid w:val="4BFA3450"/>
    <w:rsid w:val="4D492641"/>
    <w:rsid w:val="4F59011B"/>
    <w:rsid w:val="50CA2BBB"/>
    <w:rsid w:val="557038BD"/>
    <w:rsid w:val="57752E80"/>
    <w:rsid w:val="57C16B81"/>
    <w:rsid w:val="5FC15772"/>
    <w:rsid w:val="5FC15FA1"/>
    <w:rsid w:val="6104037C"/>
    <w:rsid w:val="63E814D0"/>
    <w:rsid w:val="64047E51"/>
    <w:rsid w:val="6433714F"/>
    <w:rsid w:val="65D57BE0"/>
    <w:rsid w:val="6A8D0A8A"/>
    <w:rsid w:val="6D4E5FC4"/>
    <w:rsid w:val="6D860727"/>
    <w:rsid w:val="71494FDF"/>
    <w:rsid w:val="732E26DE"/>
    <w:rsid w:val="740F66D5"/>
    <w:rsid w:val="751E451A"/>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4">
    <w:name w:val="Normal Indent"/>
    <w:basedOn w:val="1"/>
    <w:unhideWhenUsed/>
    <w:qFormat/>
    <w:uiPriority w:val="99"/>
    <w:pPr>
      <w:ind w:firstLine="420" w:firstLineChars="200"/>
    </w:pPr>
    <w:rPr>
      <w:rFonts w:asciiTheme="minorHAnsi" w:hAnsiTheme="minorHAnsi" w:eastAsiaTheme="minorEastAsia" w:cstheme="minorBidi"/>
      <w:kern w:val="2"/>
      <w:szCs w:val="22"/>
    </w:rPr>
  </w:style>
  <w:style w:type="paragraph" w:styleId="5">
    <w:name w:val="Body Text"/>
    <w:basedOn w:val="1"/>
    <w:autoRedefine/>
    <w:qFormat/>
    <w:uiPriority w:val="0"/>
    <w:rPr>
      <w:rFonts w:ascii="华文中宋" w:eastAsia="华文中宋"/>
      <w:bCs/>
      <w:sz w:val="28"/>
    </w:rPr>
  </w:style>
  <w:style w:type="paragraph" w:styleId="6">
    <w:name w:val="footer"/>
    <w:basedOn w:val="1"/>
    <w:autoRedefine/>
    <w:qFormat/>
    <w:uiPriority w:val="99"/>
    <w:pPr>
      <w:tabs>
        <w:tab w:val="center" w:pos="4153"/>
        <w:tab w:val="right" w:pos="8306"/>
      </w:tabs>
      <w:snapToGrid w:val="0"/>
      <w:jc w:val="left"/>
    </w:pPr>
    <w:rPr>
      <w:sz w:val="18"/>
      <w:szCs w:val="20"/>
    </w:rPr>
  </w:style>
  <w:style w:type="paragraph" w:styleId="7">
    <w:name w:val="Normal (Web)"/>
    <w:basedOn w:val="1"/>
    <w:qFormat/>
    <w:uiPriority w:val="99"/>
    <w:pPr>
      <w:spacing w:beforeAutospacing="1" w:afterAutospacing="1"/>
      <w:jc w:val="left"/>
    </w:pPr>
    <w:rPr>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autoRedefine/>
    <w:qFormat/>
    <w:uiPriority w:val="0"/>
  </w:style>
  <w:style w:type="character" w:customStyle="1" w:styleId="12">
    <w:name w:val="font01"/>
    <w:basedOn w:val="10"/>
    <w:autoRedefine/>
    <w:qFormat/>
    <w:uiPriority w:val="0"/>
    <w:rPr>
      <w:rFonts w:hint="eastAsia" w:ascii="宋体" w:hAnsi="宋体" w:eastAsia="宋体" w:cs="宋体"/>
      <w:color w:val="000000"/>
      <w:sz w:val="22"/>
      <w:szCs w:val="22"/>
      <w:u w:val="none"/>
    </w:rPr>
  </w:style>
  <w:style w:type="character" w:customStyle="1" w:styleId="13">
    <w:name w:val="font61"/>
    <w:basedOn w:val="10"/>
    <w:autoRedefine/>
    <w:qFormat/>
    <w:uiPriority w:val="0"/>
    <w:rPr>
      <w:rFonts w:hint="eastAsia" w:ascii="宋体" w:hAnsi="宋体" w:eastAsia="宋体" w:cs="宋体"/>
      <w:color w:val="FF0000"/>
      <w:sz w:val="22"/>
      <w:szCs w:val="22"/>
      <w:u w:val="none"/>
    </w:rPr>
  </w:style>
  <w:style w:type="character" w:customStyle="1" w:styleId="14">
    <w:name w:val="font51"/>
    <w:basedOn w:val="10"/>
    <w:autoRedefine/>
    <w:qFormat/>
    <w:uiPriority w:val="0"/>
    <w:rPr>
      <w:rFonts w:hint="eastAsia" w:ascii="宋体" w:hAnsi="宋体" w:eastAsia="宋体" w:cs="宋体"/>
      <w:color w:val="000000"/>
      <w:sz w:val="20"/>
      <w:szCs w:val="20"/>
      <w:u w:val="none"/>
    </w:rPr>
  </w:style>
  <w:style w:type="character" w:customStyle="1" w:styleId="15">
    <w:name w:val="font71"/>
    <w:basedOn w:val="10"/>
    <w:autoRedefine/>
    <w:qFormat/>
    <w:uiPriority w:val="0"/>
    <w:rPr>
      <w:rFonts w:hint="eastAsia" w:ascii="宋体" w:hAnsi="宋体" w:eastAsia="宋体" w:cs="宋体"/>
      <w:color w:val="FF0000"/>
      <w:sz w:val="20"/>
      <w:szCs w:val="20"/>
      <w:u w:val="none"/>
    </w:rPr>
  </w:style>
  <w:style w:type="table" w:customStyle="1" w:styleId="16">
    <w:name w:val="Table Normal"/>
    <w:autoRedefine/>
    <w:unhideWhenUsed/>
    <w:qFormat/>
    <w:uiPriority w:val="0"/>
    <w:tblPr>
      <w:tblCellMar>
        <w:top w:w="0" w:type="dxa"/>
        <w:left w:w="0" w:type="dxa"/>
        <w:bottom w:w="0" w:type="dxa"/>
        <w:right w:w="0" w:type="dxa"/>
      </w:tblCellMar>
    </w:tblPr>
  </w:style>
  <w:style w:type="paragraph" w:customStyle="1" w:styleId="17">
    <w:name w:val="02、首行缩进2字符正文"/>
    <w:basedOn w:val="1"/>
    <w:qFormat/>
    <w:uiPriority w:val="0"/>
    <w:pPr>
      <w:tabs>
        <w:tab w:val="left" w:pos="0"/>
      </w:tabs>
      <w:wordWrap w:val="0"/>
      <w:topLinePunct/>
      <w:ind w:firstLine="480" w:firstLineChars="200"/>
    </w:pPr>
    <w:rPr>
      <w:rFonts w:hAnsi="宋体" w:cs="Times New Roman"/>
      <w:szCs w:val="20"/>
    </w:r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4295</Words>
  <Characters>4400</Characters>
  <Lines>0</Lines>
  <Paragraphs>0</Paragraphs>
  <TotalTime>2</TotalTime>
  <ScaleCrop>false</ScaleCrop>
  <LinksUpToDate>false</LinksUpToDate>
  <CharactersWithSpaces>4956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2024-07-17T03:11:50Z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76C9A4773B63434B9FC51B57D37D2DB1_11</vt:lpwstr>
  </property>
</Properties>
</file>