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color w:val="auto"/>
          <w:sz w:val="44"/>
          <w:szCs w:val="44"/>
          <w:u w:val="none" w:color="auto"/>
          <w:lang w:val="en-US" w:eastAsia="zh-CN"/>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为故居公司甄选一家单位实施“江油大剧院三楼剧场舞台机械改造项目”。</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3" w:firstLineChars="200"/>
        <w:textAlignment w:val="auto"/>
        <w:rPr>
          <w:rFonts w:hint="eastAsia" w:ascii="仿宋" w:hAnsi="仿宋" w:eastAsia="仿宋" w:cs="仿宋"/>
          <w:b/>
          <w:bCs/>
          <w:sz w:val="32"/>
          <w:szCs w:val="32"/>
          <w:u w:val="none" w:color="auto"/>
          <w:lang w:val="en-US" w:eastAsia="zh-CN"/>
        </w:rPr>
      </w:pPr>
      <w:r>
        <w:rPr>
          <w:rFonts w:hint="eastAsia" w:ascii="仿宋" w:hAnsi="仿宋" w:eastAsia="仿宋" w:cs="仿宋"/>
          <w:b/>
          <w:bCs/>
          <w:sz w:val="32"/>
          <w:szCs w:val="32"/>
          <w:u w:val="none" w:color="auto"/>
          <w:lang w:val="en-US" w:eastAsia="zh-CN"/>
        </w:rPr>
        <w:t>（一）舞台机械设备：</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将原有台上机械设备全部进行拆除，在原有的结构基础上新建1道前檐幕吊杆、1套升降对开大幕（均匀伸缩）、2套固定柱光架、24道电动吊杆、6道灯光吊杆、2道升降侧光吊架，并对拐角滑轮梁、驱动机安装梁的更换，部分后置埋件、栅顶部分结构的补强等。</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3" w:firstLineChars="200"/>
        <w:textAlignment w:val="auto"/>
        <w:rPr>
          <w:rFonts w:hint="eastAsia" w:ascii="仿宋" w:hAnsi="仿宋" w:eastAsia="仿宋" w:cs="仿宋"/>
          <w:b/>
          <w:bCs/>
          <w:sz w:val="32"/>
          <w:szCs w:val="32"/>
          <w:u w:val="none" w:color="auto"/>
          <w:lang w:val="en-US" w:eastAsia="zh-CN"/>
        </w:rPr>
      </w:pPr>
      <w:r>
        <w:rPr>
          <w:rFonts w:hint="eastAsia" w:ascii="仿宋" w:hAnsi="仿宋" w:eastAsia="仿宋" w:cs="仿宋"/>
          <w:b/>
          <w:bCs/>
          <w:sz w:val="32"/>
          <w:szCs w:val="32"/>
          <w:u w:val="none" w:color="auto"/>
          <w:lang w:val="en-US" w:eastAsia="zh-CN"/>
        </w:rPr>
        <w:t>（二）舞台机械电气及控制系统：</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1.将原有台上电气及控制系统设备进行拆除，随着工业自动化控制技术的不断进步和剧场剧院日益复杂的功能需求，控制系统应包含控制层、操作层、驱动层、安全管理层等层面。</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2.可编程逻辑控制器、驱动器及相关低压元器件应摒弃原有传统集中安装方式，须采用分布式安装，所有设备均采用驱动器一对一变频控制方式。</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3.安全管理层需配置独立的性能可靠的安全管理系统，安全管理系统须采用“系统安全功能”达到SIL3等级要求的安全控制器，能有效地对系统安全进行控制管理。</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4.因江油大剧院舞台台上机械系统的升级改造后，原有钢结构的载荷承载能力可能因改造过程中的结构变化、新增设备重量及运行方式的改变而无法直接评估。此次改造需引入载荷安全监测系统，通过实时监测各受力点的载荷情况，及时发现并预警潜在的安全隐患，有效预防因载荷超限导致的安全事故。</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3" w:firstLineChars="200"/>
        <w:textAlignment w:val="auto"/>
        <w:rPr>
          <w:rFonts w:hint="eastAsia" w:ascii="仿宋" w:hAnsi="仿宋" w:eastAsia="仿宋" w:cs="仿宋"/>
          <w:b/>
          <w:bCs/>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3" w:firstLineChars="200"/>
        <w:textAlignment w:val="auto"/>
        <w:rPr>
          <w:rFonts w:hint="eastAsia" w:ascii="仿宋" w:hAnsi="仿宋" w:eastAsia="仿宋" w:cs="仿宋"/>
          <w:b/>
          <w:bCs/>
          <w:sz w:val="32"/>
          <w:szCs w:val="32"/>
          <w:u w:val="none" w:color="auto"/>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right="0" w:rightChars="0" w:firstLine="643" w:firstLineChars="200"/>
        <w:textAlignment w:val="auto"/>
        <w:rPr>
          <w:rFonts w:hint="eastAsia" w:ascii="仿宋" w:hAnsi="仿宋" w:eastAsia="仿宋" w:cs="仿宋"/>
          <w:b/>
          <w:bCs/>
          <w:sz w:val="32"/>
          <w:szCs w:val="32"/>
          <w:u w:val="none" w:color="auto"/>
          <w:lang w:val="en-US" w:eastAsia="zh-CN"/>
        </w:rPr>
      </w:pPr>
      <w:r>
        <w:rPr>
          <w:rFonts w:hint="eastAsia" w:ascii="仿宋" w:hAnsi="仿宋" w:eastAsia="仿宋" w:cs="仿宋"/>
          <w:b/>
          <w:bCs/>
          <w:sz w:val="32"/>
          <w:szCs w:val="32"/>
          <w:u w:val="none" w:color="auto"/>
          <w:lang w:val="en-US" w:eastAsia="zh-CN"/>
        </w:rPr>
        <w:t>改造清单</w:t>
      </w:r>
    </w:p>
    <w:tbl>
      <w:tblPr>
        <w:tblStyle w:val="11"/>
        <w:tblW w:w="1335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72"/>
        <w:gridCol w:w="1200"/>
        <w:gridCol w:w="6395"/>
        <w:gridCol w:w="591"/>
        <w:gridCol w:w="664"/>
        <w:gridCol w:w="1248"/>
        <w:gridCol w:w="1475"/>
        <w:gridCol w:w="13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9"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序号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设备名称</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参数要求</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数量</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单位</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lang w:val="en-US" w:eastAsia="zh-CN"/>
              </w:rPr>
            </w:pPr>
            <w:r>
              <w:rPr>
                <w:rFonts w:hint="eastAsia"/>
                <w:lang w:val="en-US" w:eastAsia="zh-CN"/>
              </w:rPr>
              <w:t>参考</w:t>
            </w:r>
          </w:p>
          <w:p>
            <w:pPr>
              <w:jc w:val="center"/>
              <w:rPr>
                <w:rFonts w:hint="eastAsia"/>
              </w:rPr>
            </w:pPr>
            <w:r>
              <w:rPr>
                <w:rFonts w:hint="eastAsia"/>
                <w:lang w:val="en-US" w:eastAsia="zh-CN"/>
              </w:rPr>
              <w:t>品牌</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预算单价</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合计金额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9"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前檐幕吊杆</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1、尺寸：宽18m；</w:t>
            </w:r>
            <w:r>
              <w:rPr>
                <w:rFonts w:hint="eastAsia"/>
                <w:lang w:val="en-US" w:eastAsia="zh-CN"/>
              </w:rPr>
              <w:br w:type="textWrapping"/>
            </w:r>
            <w:r>
              <w:rPr>
                <w:rFonts w:hint="eastAsia"/>
                <w:lang w:val="en-US" w:eastAsia="zh-CN"/>
              </w:rPr>
              <w:t>2、吊点数：不少于5吊点；</w:t>
            </w:r>
            <w:r>
              <w:rPr>
                <w:rFonts w:hint="eastAsia"/>
                <w:lang w:val="en-US" w:eastAsia="zh-CN"/>
              </w:rPr>
              <w:br w:type="textWrapping"/>
            </w:r>
            <w:r>
              <w:rPr>
                <w:rFonts w:hint="eastAsia"/>
                <w:lang w:val="en-US" w:eastAsia="zh-CN"/>
              </w:rPr>
              <w:t>3、行程：约10m；</w:t>
            </w:r>
            <w:r>
              <w:rPr>
                <w:rFonts w:hint="eastAsia"/>
                <w:lang w:val="en-US" w:eastAsia="zh-CN"/>
              </w:rPr>
              <w:br w:type="textWrapping"/>
            </w:r>
            <w:r>
              <w:rPr>
                <w:rFonts w:hint="eastAsia"/>
                <w:lang w:val="en-US" w:eastAsia="zh-CN"/>
              </w:rPr>
              <w:t>4、速度：0-0.7m/s；</w:t>
            </w:r>
            <w:r>
              <w:rPr>
                <w:rFonts w:hint="eastAsia"/>
                <w:lang w:val="en-US" w:eastAsia="zh-CN"/>
              </w:rPr>
              <w:br w:type="textWrapping"/>
            </w:r>
            <w:r>
              <w:rPr>
                <w:rFonts w:hint="eastAsia"/>
                <w:lang w:val="en-US" w:eastAsia="zh-CN"/>
              </w:rPr>
              <w:t>5、载荷：6.0kN（活载荷）；</w:t>
            </w:r>
            <w:r>
              <w:rPr>
                <w:rFonts w:hint="eastAsia"/>
                <w:lang w:val="en-US" w:eastAsia="zh-CN"/>
              </w:rPr>
              <w:br w:type="textWrapping"/>
            </w:r>
            <w:r>
              <w:rPr>
                <w:rFonts w:hint="eastAsia"/>
                <w:lang w:val="en-US" w:eastAsia="zh-CN"/>
              </w:rPr>
              <w:t>6、定位精度：±3mm；</w:t>
            </w:r>
            <w:r>
              <w:rPr>
                <w:rFonts w:hint="eastAsia"/>
                <w:lang w:val="en-US" w:eastAsia="zh-CN"/>
              </w:rPr>
              <w:br w:type="textWrapping"/>
            </w:r>
            <w:r>
              <w:rPr>
                <w:rFonts w:hint="eastAsia"/>
                <w:lang w:val="en-US" w:eastAsia="zh-CN"/>
              </w:rPr>
              <w:t>7、驱动类型：电动钢丝绳卷扬；</w:t>
            </w:r>
            <w:r>
              <w:rPr>
                <w:rFonts w:hint="eastAsia"/>
                <w:lang w:val="en-US" w:eastAsia="zh-CN"/>
              </w:rPr>
              <w:br w:type="textWrapping"/>
            </w:r>
            <w:r>
              <w:rPr>
                <w:rFonts w:hint="eastAsia"/>
                <w:lang w:val="en-US" w:eastAsia="zh-CN"/>
              </w:rPr>
              <w:t>8、保护装置：包含行程限位检测组件、防松绳机构、载荷安全监测组件等；</w:t>
            </w:r>
            <w:r>
              <w:rPr>
                <w:rFonts w:hint="eastAsia"/>
                <w:lang w:val="en-US" w:eastAsia="zh-CN"/>
              </w:rPr>
              <w:br w:type="textWrapping"/>
            </w:r>
            <w:r>
              <w:rPr>
                <w:rFonts w:hint="eastAsia"/>
                <w:lang w:val="en-US" w:eastAsia="zh-CN"/>
              </w:rPr>
              <w:t>9、电动非标定制，大卷筒钢丝绳单层缠绕，电机双制动。</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道</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 xml:space="preserve">38,000.00 </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38,000.00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5"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升降对开大幕机</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1、尺寸：宽24m；</w:t>
            </w:r>
            <w:r>
              <w:rPr>
                <w:rFonts w:hint="eastAsia"/>
                <w:lang w:val="en-US" w:eastAsia="zh-CN"/>
              </w:rPr>
              <w:br w:type="textWrapping"/>
            </w:r>
            <w:r>
              <w:rPr>
                <w:rFonts w:hint="eastAsia"/>
                <w:lang w:val="en-US" w:eastAsia="zh-CN"/>
              </w:rPr>
              <w:t>2、升降速度：0-0.6m/s;</w:t>
            </w:r>
            <w:r>
              <w:rPr>
                <w:rFonts w:hint="eastAsia"/>
                <w:lang w:val="en-US" w:eastAsia="zh-CN"/>
              </w:rPr>
              <w:br w:type="textWrapping"/>
            </w:r>
            <w:r>
              <w:rPr>
                <w:rFonts w:hint="eastAsia"/>
                <w:lang w:val="en-US" w:eastAsia="zh-CN"/>
              </w:rPr>
              <w:t>3、行程：不小于19m;</w:t>
            </w:r>
            <w:r>
              <w:rPr>
                <w:rFonts w:hint="eastAsia"/>
                <w:lang w:val="en-US" w:eastAsia="zh-CN"/>
              </w:rPr>
              <w:br w:type="textWrapping"/>
            </w:r>
            <w:r>
              <w:rPr>
                <w:rFonts w:hint="eastAsia"/>
                <w:lang w:val="en-US" w:eastAsia="zh-CN"/>
              </w:rPr>
              <w:t>4、载荷：幕体+幕布自重；</w:t>
            </w:r>
            <w:r>
              <w:rPr>
                <w:rFonts w:hint="eastAsia"/>
                <w:lang w:val="en-US" w:eastAsia="zh-CN"/>
              </w:rPr>
              <w:br w:type="textWrapping"/>
            </w:r>
            <w:r>
              <w:rPr>
                <w:rFonts w:hint="eastAsia"/>
                <w:lang w:val="en-US" w:eastAsia="zh-CN"/>
              </w:rPr>
              <w:t>5、对开速度：0-1.0m/s;</w:t>
            </w:r>
            <w:r>
              <w:rPr>
                <w:rFonts w:hint="eastAsia"/>
                <w:lang w:val="en-US" w:eastAsia="zh-CN"/>
              </w:rPr>
              <w:br w:type="textWrapping"/>
            </w:r>
            <w:r>
              <w:rPr>
                <w:rFonts w:hint="eastAsia"/>
                <w:lang w:val="en-US" w:eastAsia="zh-CN"/>
              </w:rPr>
              <w:t>6、行程：单边9.5m（均匀对开）；</w:t>
            </w:r>
            <w:r>
              <w:rPr>
                <w:rFonts w:hint="eastAsia"/>
                <w:lang w:val="en-US" w:eastAsia="zh-CN"/>
              </w:rPr>
              <w:br w:type="textWrapping"/>
            </w:r>
            <w:r>
              <w:rPr>
                <w:rFonts w:hint="eastAsia"/>
                <w:lang w:val="en-US" w:eastAsia="zh-CN"/>
              </w:rPr>
              <w:t>7、载荷：幕布自重</w:t>
            </w:r>
            <w:r>
              <w:rPr>
                <w:rFonts w:hint="eastAsia"/>
                <w:lang w:val="en-US" w:eastAsia="zh-CN"/>
              </w:rPr>
              <w:br w:type="textWrapping"/>
            </w:r>
            <w:r>
              <w:rPr>
                <w:rFonts w:hint="eastAsia"/>
                <w:lang w:val="en-US" w:eastAsia="zh-CN"/>
              </w:rPr>
              <w:t>8、定位精度：±3mm；</w:t>
            </w:r>
            <w:r>
              <w:rPr>
                <w:rFonts w:hint="eastAsia"/>
                <w:lang w:val="en-US" w:eastAsia="zh-CN"/>
              </w:rPr>
              <w:br w:type="textWrapping"/>
            </w:r>
            <w:r>
              <w:rPr>
                <w:rFonts w:hint="eastAsia"/>
                <w:lang w:val="en-US" w:eastAsia="zh-CN"/>
              </w:rPr>
              <w:t>9、驱动类型：升降电动钢丝绳卷扬，对开钢丝绳曳引。</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套</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160,000.00</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160,000.00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固定柱光架</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1、宽2.5m*高9m*深0.8m；</w:t>
            </w:r>
            <w:r>
              <w:rPr>
                <w:rFonts w:hint="eastAsia"/>
                <w:lang w:val="en-US" w:eastAsia="zh-CN"/>
              </w:rPr>
              <w:br w:type="textWrapping"/>
            </w:r>
            <w:r>
              <w:rPr>
                <w:rFonts w:hint="eastAsia"/>
                <w:lang w:val="en-US" w:eastAsia="zh-CN"/>
              </w:rPr>
              <w:t>2、框架承载：8.0KN（平均分布）；</w:t>
            </w:r>
            <w:r>
              <w:rPr>
                <w:rFonts w:hint="eastAsia"/>
                <w:lang w:val="en-US" w:eastAsia="zh-CN"/>
              </w:rPr>
              <w:br w:type="textWrapping"/>
            </w:r>
            <w:r>
              <w:rPr>
                <w:rFonts w:hint="eastAsia"/>
                <w:lang w:val="en-US" w:eastAsia="zh-CN"/>
              </w:rPr>
              <w:t>3、固定安装。</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套</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18,000.00</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36,000.00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电动吊杆</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1、尺寸：宽23m；</w:t>
            </w:r>
            <w:r>
              <w:rPr>
                <w:rFonts w:hint="eastAsia"/>
                <w:lang w:val="en-US" w:eastAsia="zh-CN"/>
              </w:rPr>
              <w:br w:type="textWrapping"/>
            </w:r>
            <w:r>
              <w:rPr>
                <w:rFonts w:hint="eastAsia"/>
                <w:lang w:val="en-US" w:eastAsia="zh-CN"/>
              </w:rPr>
              <w:t>2、吊点数：不少于5吊点；</w:t>
            </w:r>
            <w:r>
              <w:rPr>
                <w:rFonts w:hint="eastAsia"/>
                <w:lang w:val="en-US" w:eastAsia="zh-CN"/>
              </w:rPr>
              <w:br w:type="textWrapping"/>
            </w:r>
            <w:r>
              <w:rPr>
                <w:rFonts w:hint="eastAsia"/>
                <w:lang w:val="en-US" w:eastAsia="zh-CN"/>
              </w:rPr>
              <w:t>3、行程：约19m；</w:t>
            </w:r>
            <w:r>
              <w:rPr>
                <w:rFonts w:hint="eastAsia"/>
                <w:lang w:val="en-US" w:eastAsia="zh-CN"/>
              </w:rPr>
              <w:br w:type="textWrapping"/>
            </w:r>
            <w:r>
              <w:rPr>
                <w:rFonts w:hint="eastAsia"/>
                <w:lang w:val="en-US" w:eastAsia="zh-CN"/>
              </w:rPr>
              <w:t>4、速度：0-0.7m/s；</w:t>
            </w:r>
            <w:r>
              <w:rPr>
                <w:rFonts w:hint="eastAsia"/>
                <w:lang w:val="en-US" w:eastAsia="zh-CN"/>
              </w:rPr>
              <w:br w:type="textWrapping"/>
            </w:r>
            <w:r>
              <w:rPr>
                <w:rFonts w:hint="eastAsia"/>
                <w:lang w:val="en-US" w:eastAsia="zh-CN"/>
              </w:rPr>
              <w:t>5、载荷：6.0kN（活载荷）；</w:t>
            </w:r>
            <w:r>
              <w:rPr>
                <w:rFonts w:hint="eastAsia"/>
                <w:lang w:val="en-US" w:eastAsia="zh-CN"/>
              </w:rPr>
              <w:br w:type="textWrapping"/>
            </w:r>
            <w:r>
              <w:rPr>
                <w:rFonts w:hint="eastAsia"/>
                <w:lang w:val="en-US" w:eastAsia="zh-CN"/>
              </w:rPr>
              <w:t>6、定位精度：±3mm；</w:t>
            </w:r>
            <w:r>
              <w:rPr>
                <w:rFonts w:hint="eastAsia"/>
                <w:lang w:val="en-US" w:eastAsia="zh-CN"/>
              </w:rPr>
              <w:br w:type="textWrapping"/>
            </w:r>
            <w:r>
              <w:rPr>
                <w:rFonts w:hint="eastAsia"/>
                <w:lang w:val="en-US" w:eastAsia="zh-CN"/>
              </w:rPr>
              <w:t>7、同步精度：±5mm；</w:t>
            </w:r>
            <w:r>
              <w:rPr>
                <w:rFonts w:hint="eastAsia"/>
                <w:lang w:val="en-US" w:eastAsia="zh-CN"/>
              </w:rPr>
              <w:br w:type="textWrapping"/>
            </w:r>
            <w:r>
              <w:rPr>
                <w:rFonts w:hint="eastAsia"/>
                <w:lang w:val="en-US" w:eastAsia="zh-CN"/>
              </w:rPr>
              <w:t>8、驱动类型：电动钢丝绳卷扬；</w:t>
            </w:r>
            <w:r>
              <w:rPr>
                <w:rFonts w:hint="eastAsia"/>
                <w:lang w:val="en-US" w:eastAsia="zh-CN"/>
              </w:rPr>
              <w:br w:type="textWrapping"/>
            </w:r>
            <w:r>
              <w:rPr>
                <w:rFonts w:hint="eastAsia"/>
                <w:lang w:val="en-US" w:eastAsia="zh-CN"/>
              </w:rPr>
              <w:t>9、保护装置：包含行程限位检测组件、防松绳机构、载荷安全监测组件等；</w:t>
            </w:r>
            <w:r>
              <w:rPr>
                <w:rFonts w:hint="eastAsia"/>
                <w:lang w:val="en-US" w:eastAsia="zh-CN"/>
              </w:rPr>
              <w:br w:type="textWrapping"/>
            </w:r>
            <w:r>
              <w:rPr>
                <w:rFonts w:hint="eastAsia"/>
                <w:lang w:val="en-US" w:eastAsia="zh-CN"/>
              </w:rPr>
              <w:t>10、电动非标定制，大卷筒钢丝绳单层缠绕，电机双制动。</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24</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道</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38,000.00</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912,000.00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7"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灯光吊杆</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1、尺寸：宽21m；</w:t>
            </w:r>
            <w:r>
              <w:rPr>
                <w:rFonts w:hint="eastAsia"/>
                <w:lang w:val="en-US" w:eastAsia="zh-CN"/>
              </w:rPr>
              <w:br w:type="textWrapping"/>
            </w:r>
            <w:r>
              <w:rPr>
                <w:rFonts w:hint="eastAsia"/>
                <w:lang w:val="en-US" w:eastAsia="zh-CN"/>
              </w:rPr>
              <w:t>2、吊点数：不少于5吊点；</w:t>
            </w:r>
            <w:r>
              <w:rPr>
                <w:rFonts w:hint="eastAsia"/>
                <w:lang w:val="en-US" w:eastAsia="zh-CN"/>
              </w:rPr>
              <w:br w:type="textWrapping"/>
            </w:r>
            <w:r>
              <w:rPr>
                <w:rFonts w:hint="eastAsia"/>
                <w:lang w:val="en-US" w:eastAsia="zh-CN"/>
              </w:rPr>
              <w:t>3、行程：约12m；</w:t>
            </w:r>
            <w:r>
              <w:rPr>
                <w:rFonts w:hint="eastAsia"/>
                <w:lang w:val="en-US" w:eastAsia="zh-CN"/>
              </w:rPr>
              <w:br w:type="textWrapping"/>
            </w:r>
            <w:r>
              <w:rPr>
                <w:rFonts w:hint="eastAsia"/>
                <w:lang w:val="en-US" w:eastAsia="zh-CN"/>
              </w:rPr>
              <w:t>4、速度：0-0.3m/s；</w:t>
            </w:r>
            <w:r>
              <w:rPr>
                <w:rFonts w:hint="eastAsia"/>
                <w:lang w:val="en-US" w:eastAsia="zh-CN"/>
              </w:rPr>
              <w:br w:type="textWrapping"/>
            </w:r>
            <w:r>
              <w:rPr>
                <w:rFonts w:hint="eastAsia"/>
                <w:lang w:val="en-US" w:eastAsia="zh-CN"/>
              </w:rPr>
              <w:t>5、载荷：6.0kN（活载荷）；</w:t>
            </w:r>
            <w:r>
              <w:rPr>
                <w:rFonts w:hint="eastAsia"/>
                <w:lang w:val="en-US" w:eastAsia="zh-CN"/>
              </w:rPr>
              <w:br w:type="textWrapping"/>
            </w:r>
            <w:r>
              <w:rPr>
                <w:rFonts w:hint="eastAsia"/>
                <w:lang w:val="en-US" w:eastAsia="zh-CN"/>
              </w:rPr>
              <w:t>6、定位精度：±3mm；</w:t>
            </w:r>
            <w:r>
              <w:rPr>
                <w:rFonts w:hint="eastAsia"/>
                <w:lang w:val="en-US" w:eastAsia="zh-CN"/>
              </w:rPr>
              <w:br w:type="textWrapping"/>
            </w:r>
            <w:r>
              <w:rPr>
                <w:rFonts w:hint="eastAsia"/>
                <w:lang w:val="en-US" w:eastAsia="zh-CN"/>
              </w:rPr>
              <w:t>7、驱动类型：电动钢丝绳卷扬；</w:t>
            </w:r>
            <w:r>
              <w:rPr>
                <w:rFonts w:hint="eastAsia"/>
                <w:lang w:val="en-US" w:eastAsia="zh-CN"/>
              </w:rPr>
              <w:br w:type="textWrapping"/>
            </w:r>
            <w:r>
              <w:rPr>
                <w:rFonts w:hint="eastAsia"/>
                <w:lang w:val="en-US" w:eastAsia="zh-CN"/>
              </w:rPr>
              <w:t>8、保护装置：包含行程限位检测组件、防松绳机构、载荷安全监测组件等；</w:t>
            </w:r>
            <w:r>
              <w:rPr>
                <w:rFonts w:hint="eastAsia"/>
                <w:lang w:val="en-US" w:eastAsia="zh-CN"/>
              </w:rPr>
              <w:br w:type="textWrapping"/>
            </w:r>
            <w:r>
              <w:rPr>
                <w:rFonts w:hint="eastAsia"/>
                <w:lang w:val="en-US" w:eastAsia="zh-CN"/>
              </w:rPr>
              <w:t>9、电动非标定制，大卷筒钢丝绳单层缠绕，电机双制动。</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6</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道</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41,000.00</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246,000.00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1"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侧灯光吊架</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1、尺寸：宽17m，含4个“目”字形挂灯架，挂灯架可沿舞台进深方向手动平移；</w:t>
            </w:r>
            <w:r>
              <w:rPr>
                <w:rFonts w:hint="eastAsia"/>
                <w:lang w:val="en-US" w:eastAsia="zh-CN"/>
              </w:rPr>
              <w:br w:type="textWrapping"/>
            </w:r>
            <w:r>
              <w:rPr>
                <w:rFonts w:hint="eastAsia"/>
                <w:lang w:val="en-US" w:eastAsia="zh-CN"/>
              </w:rPr>
              <w:t>2、吊点数：不少于5吊点；</w:t>
            </w:r>
            <w:r>
              <w:rPr>
                <w:rFonts w:hint="eastAsia"/>
                <w:lang w:val="en-US" w:eastAsia="zh-CN"/>
              </w:rPr>
              <w:br w:type="textWrapping"/>
            </w:r>
            <w:r>
              <w:rPr>
                <w:rFonts w:hint="eastAsia"/>
                <w:lang w:val="en-US" w:eastAsia="zh-CN"/>
              </w:rPr>
              <w:t>3、升降行程：约15m；</w:t>
            </w:r>
            <w:r>
              <w:rPr>
                <w:rFonts w:hint="eastAsia"/>
                <w:lang w:val="en-US" w:eastAsia="zh-CN"/>
              </w:rPr>
              <w:br w:type="textWrapping"/>
            </w:r>
            <w:r>
              <w:rPr>
                <w:rFonts w:hint="eastAsia"/>
                <w:lang w:val="en-US" w:eastAsia="zh-CN"/>
              </w:rPr>
              <w:t>4、升降速度：0-0.3m/s；</w:t>
            </w:r>
            <w:r>
              <w:rPr>
                <w:rFonts w:hint="eastAsia"/>
                <w:lang w:val="en-US" w:eastAsia="zh-CN"/>
              </w:rPr>
              <w:br w:type="textWrapping"/>
            </w:r>
            <w:r>
              <w:rPr>
                <w:rFonts w:hint="eastAsia"/>
                <w:lang w:val="en-US" w:eastAsia="zh-CN"/>
              </w:rPr>
              <w:t>5、升降载荷：6.0kN（活载荷）；</w:t>
            </w:r>
            <w:r>
              <w:rPr>
                <w:rFonts w:hint="eastAsia"/>
                <w:lang w:val="en-US" w:eastAsia="zh-CN"/>
              </w:rPr>
              <w:br w:type="textWrapping"/>
            </w:r>
            <w:r>
              <w:rPr>
                <w:rFonts w:hint="eastAsia"/>
                <w:lang w:val="en-US" w:eastAsia="zh-CN"/>
              </w:rPr>
              <w:t>6、定位精度：±3mm；</w:t>
            </w:r>
            <w:r>
              <w:rPr>
                <w:rFonts w:hint="eastAsia"/>
                <w:lang w:val="en-US" w:eastAsia="zh-CN"/>
              </w:rPr>
              <w:br w:type="textWrapping"/>
            </w:r>
            <w:r>
              <w:rPr>
                <w:rFonts w:hint="eastAsia"/>
                <w:lang w:val="en-US" w:eastAsia="zh-CN"/>
              </w:rPr>
              <w:t>7、驱动类型：电动钢丝绳卷扬（升降），手动（平移）；</w:t>
            </w:r>
            <w:r>
              <w:rPr>
                <w:rFonts w:hint="eastAsia"/>
                <w:lang w:val="en-US" w:eastAsia="zh-CN"/>
              </w:rPr>
              <w:br w:type="textWrapping"/>
            </w:r>
            <w:r>
              <w:rPr>
                <w:rFonts w:hint="eastAsia"/>
                <w:lang w:val="en-US" w:eastAsia="zh-CN"/>
              </w:rPr>
              <w:t>8、保护装置：包含行程限位检测组件、防松绳机构、载荷安全监测组件等；</w:t>
            </w:r>
            <w:r>
              <w:rPr>
                <w:rFonts w:hint="eastAsia"/>
                <w:lang w:val="en-US" w:eastAsia="zh-CN"/>
              </w:rPr>
              <w:br w:type="textWrapping"/>
            </w:r>
            <w:r>
              <w:rPr>
                <w:rFonts w:hint="eastAsia"/>
                <w:lang w:val="en-US" w:eastAsia="zh-CN"/>
              </w:rPr>
              <w:t>9、电动非标定制，大卷筒钢丝绳单层缠绕，电机双制动。</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道</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42,000.00</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84,000.00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原设备拆除</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1、原电动吊杆、灯杆、大幕、侧灯光吊架驱动机、电气柜、强弱电线槽等设备的拆除；</w:t>
            </w:r>
            <w:r>
              <w:rPr>
                <w:rFonts w:hint="eastAsia"/>
                <w:lang w:val="en-US" w:eastAsia="zh-CN"/>
              </w:rPr>
              <w:br w:type="textWrapping"/>
            </w:r>
            <w:r>
              <w:rPr>
                <w:rFonts w:hint="eastAsia"/>
                <w:lang w:val="en-US" w:eastAsia="zh-CN"/>
              </w:rPr>
              <w:t>2、包含人工、机械、搬运等费用。</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项</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88,000.00</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88,000.00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钢结构加固</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拐角滑轮梁、驱动机安装梁的更换，部分后置埋件、栅顶部分结构的补强等。</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项</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 xml:space="preserve">118,000.00 </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118,000.00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lang w:val="en-US"/>
              </w:rPr>
            </w:pPr>
            <w:r>
              <w:rPr>
                <w:rFonts w:hint="eastAsia"/>
                <w:lang w:val="en-US" w:eastAsia="zh-CN"/>
              </w:rPr>
              <w:t>舞台机械电气及控制系统-中央控制系统</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1、系统控制站（控制台）和PLC主控制器间通过以太网连接，网络速率可达100MBPS。网络容量大于控制器数量并留有超过10%以上的扩充余量。网络数据传输速率完全满足系统控制的实时性要求；</w:t>
            </w:r>
          </w:p>
          <w:p>
            <w:pPr>
              <w:rPr>
                <w:rFonts w:hint="eastAsia"/>
              </w:rPr>
            </w:pPr>
            <w:r>
              <w:t>▲</w:t>
            </w:r>
            <w:r>
              <w:rPr>
                <w:rFonts w:hint="eastAsia"/>
                <w:lang w:val="en-US" w:eastAsia="zh-CN"/>
              </w:rPr>
              <w:t>2、控制系统可实时检测所有设备的位置、限位状态、运行状态等（包括非选中设备在内的所有设备），升降位置可预先设定，可控制升降到指定位置，各设定位置可记忆和调出；</w:t>
            </w:r>
            <w:r>
              <w:rPr>
                <w:rFonts w:hint="eastAsia"/>
                <w:lang w:val="en-US" w:eastAsia="zh-CN"/>
              </w:rPr>
              <w:br w:type="textWrapping"/>
            </w:r>
            <w:r>
              <w:t>▲</w:t>
            </w:r>
            <w:r>
              <w:rPr>
                <w:rFonts w:hint="eastAsia"/>
                <w:lang w:val="en-US" w:eastAsia="zh-CN"/>
              </w:rPr>
              <w:t>3、控制系统操作功能说明：计算机模式分为装台模式和演出模式，同时能实现设备参数配置、使能设置、各设备状态监控和故障的实时报警及报警复位。装台模式：编辑设备运行参数，可针对设备设置其运行速度、延时时间、往返等参数，并可一键设置所有待运行设备的运行参数；演出模式：针对编辑好的场景完成设备的指定运行，可实时显示场次运行状态、场次备注信息及下一场景待运行设备信息；系统支持场景自动切换并触发运行；系统管理：各设备的运行状况指示和命令指示；功能包括剧目场景管理、编组管理、用户管理、设备管理、状态查询、日志管理等功能；</w:t>
            </w:r>
            <w:r>
              <w:rPr>
                <w:rFonts w:hint="eastAsia"/>
                <w:lang w:val="en-US" w:eastAsia="zh-CN"/>
              </w:rPr>
              <w:br w:type="textWrapping"/>
            </w:r>
            <w:r>
              <w:t>▲</w:t>
            </w:r>
            <w:r>
              <w:rPr>
                <w:rFonts w:hint="eastAsia"/>
                <w:lang w:val="en-US" w:eastAsia="zh-CN"/>
              </w:rPr>
              <w:t>4、对编场控制时，场景运行过程中的多个设备联动控制，可实现目标位置运行、往返运行等动作；</w:t>
            </w:r>
            <w:r>
              <w:rPr>
                <w:rFonts w:hint="eastAsia"/>
                <w:lang w:val="en-US" w:eastAsia="zh-CN"/>
              </w:rPr>
              <w:br w:type="textWrapping"/>
            </w:r>
            <w:r>
              <w:rPr>
                <w:rFonts w:hint="eastAsia"/>
                <w:lang w:val="en-US" w:eastAsia="zh-CN"/>
              </w:rPr>
              <w:t>5、多操作台控制终端提供协同控制功能，不同的操作台可同时对不同设备进行控制操作，不同的操作台可同时在装台模式或演出模式下运行。同时多操作之间设置了安全协同保护，同一设备不会被不同操作台同时选定控制，避免人员误操作，并且在任意操作台可查看和监控其他操作选定的设备及运行状况；</w:t>
            </w:r>
            <w:r>
              <w:rPr>
                <w:rFonts w:hint="eastAsia"/>
                <w:lang w:val="en-US" w:eastAsia="zh-CN"/>
              </w:rPr>
              <w:br w:type="textWrapping"/>
            </w:r>
            <w:r>
              <w:rPr>
                <w:rFonts w:hint="eastAsia"/>
                <w:lang w:val="en-US" w:eastAsia="zh-CN"/>
              </w:rPr>
              <w:t>6、控制系统各操作终端能通过数据管理平台共享，实现各操作终端设备及场次数据共享；</w:t>
            </w:r>
            <w:r>
              <w:rPr>
                <w:rFonts w:hint="eastAsia"/>
                <w:lang w:val="en-US" w:eastAsia="zh-CN"/>
              </w:rPr>
              <w:br w:type="textWrapping"/>
            </w:r>
            <w:r>
              <w:t>▲</w:t>
            </w:r>
            <w:r>
              <w:rPr>
                <w:rFonts w:hint="eastAsia"/>
                <w:lang w:val="en-US" w:eastAsia="zh-CN"/>
              </w:rPr>
              <w:t>7、系统配备设备远程监控服务器，提供演艺设备云平台管理系统，具有系统管理、设备管理、设备部件管理、监控管理、设备状况实时监控、报警管理功能；</w:t>
            </w:r>
            <w:r>
              <w:rPr>
                <w:rFonts w:hint="eastAsia"/>
                <w:lang w:val="en-US" w:eastAsia="zh-CN"/>
              </w:rPr>
              <w:br w:type="textWrapping"/>
            </w:r>
            <w:r>
              <w:t>▲</w:t>
            </w:r>
            <w:r>
              <w:rPr>
                <w:rFonts w:hint="eastAsia"/>
                <w:lang w:val="en-US" w:eastAsia="zh-CN"/>
              </w:rPr>
              <w:t>8、控制系统支持设备编组协同运行，编组可以根据运行要求进行使能控制，编组可根据用户自由选择所需运行的设备组成，编组运行模式包括：自由编组，同步编组模式。编组故障响应包括：单停，全停。</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项</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568,000.00</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568,000.00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lang w:val="en-US" w:eastAsia="zh-CN"/>
              </w:rPr>
            </w:pPr>
            <w:r>
              <w:rPr>
                <w:rFonts w:hint="eastAsia"/>
                <w:lang w:val="en-US" w:eastAsia="zh-CN"/>
              </w:rPr>
              <w:t>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舞台机械控制系统-驱动系统</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b/>
                <w:bCs/>
              </w:rPr>
              <w:t>◆</w:t>
            </w:r>
            <w:r>
              <w:rPr>
                <w:rFonts w:hint="eastAsia"/>
                <w:lang w:val="en-US" w:eastAsia="zh-CN"/>
              </w:rPr>
              <w:t>1、驱动层的驱动器应摒弃原有传统集中安装方式，须采用分布式安装，均采用1对1变频控制方式。独立的驱动器箱面板应具备本地急停、速度旋钮、限位使能、极限使能、本地/远程、正转/反转控制等操作；</w:t>
            </w:r>
            <w:r>
              <w:rPr>
                <w:rFonts w:hint="eastAsia"/>
                <w:lang w:val="en-US" w:eastAsia="zh-CN"/>
              </w:rPr>
              <w:br w:type="textWrapping"/>
            </w:r>
            <w:r>
              <w:rPr>
                <w:rFonts w:hint="eastAsia"/>
                <w:lang w:val="en-US" w:eastAsia="zh-CN"/>
              </w:rPr>
              <w:t>2、系统低压产品采用进口品牌能够适应现场恶劣环境使用的要求；</w:t>
            </w:r>
            <w:r>
              <w:rPr>
                <w:rFonts w:hint="eastAsia"/>
                <w:lang w:val="en-US" w:eastAsia="zh-CN"/>
              </w:rPr>
              <w:br w:type="textWrapping"/>
            </w:r>
            <w:r>
              <w:rPr>
                <w:rFonts w:hint="eastAsia"/>
                <w:lang w:val="en-US" w:eastAsia="zh-CN"/>
              </w:rPr>
              <w:t>3、单台设备在单台控制时多次运行后位移误差为±3mm，多台集控设备多次运行后位移误差为±3mm；</w:t>
            </w:r>
            <w:r>
              <w:rPr>
                <w:rFonts w:hint="eastAsia"/>
                <w:lang w:val="en-US" w:eastAsia="zh-CN"/>
              </w:rPr>
              <w:br w:type="textWrapping"/>
            </w:r>
            <w:r>
              <w:rPr>
                <w:rFonts w:hint="eastAsia"/>
                <w:lang w:val="en-US" w:eastAsia="zh-CN"/>
              </w:rPr>
              <w:t>4、控制系统在编组中支持不同功率、不同速度的设备同步运行，同步运行精度不大于±5mm。</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项</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690,000.00</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690,000.00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lang w:val="en-US" w:eastAsia="zh-CN"/>
              </w:rPr>
            </w:pPr>
            <w:r>
              <w:rPr>
                <w:rFonts w:hint="eastAsia"/>
                <w:lang w:val="en-US" w:eastAsia="zh-CN"/>
              </w:rPr>
              <w:t>11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舞台机械控制系统-操作系统</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lang w:val="en-US" w:eastAsia="zh-CN"/>
              </w:rPr>
            </w:pPr>
            <w:r>
              <w:t>▲</w:t>
            </w:r>
            <w:r>
              <w:rPr>
                <w:rFonts w:hint="eastAsia"/>
                <w:lang w:val="en-US" w:eastAsia="zh-CN"/>
              </w:rPr>
              <w:t>1、控制系统具备各种故障提醒及诊断功能：电源过压、欠压、缺相、过流等故障信息以及吊杆高度、限位状态等运行参量能返送回控制界面，使操作人员能及时了解系统运行，操作方便、便于检修；</w:t>
            </w:r>
            <w:r>
              <w:rPr>
                <w:rFonts w:hint="eastAsia"/>
                <w:lang w:val="en-US" w:eastAsia="zh-CN"/>
              </w:rPr>
              <w:br w:type="textWrapping"/>
            </w:r>
            <w:r>
              <w:t>▲</w:t>
            </w:r>
            <w:r>
              <w:rPr>
                <w:rFonts w:hint="eastAsia"/>
                <w:lang w:val="en-US" w:eastAsia="zh-CN"/>
              </w:rPr>
              <w:t>2、控制系统提供全局设备的运行状态监控，监控内容包括：设备位置、速度、限位、故障状态、故障信息、互锁关系等；</w:t>
            </w:r>
            <w:r>
              <w:rPr>
                <w:rFonts w:hint="eastAsia"/>
                <w:lang w:val="en-US" w:eastAsia="zh-CN"/>
              </w:rPr>
              <w:br w:type="textWrapping"/>
            </w:r>
            <w:r>
              <w:t>▲</w:t>
            </w:r>
            <w:r>
              <w:rPr>
                <w:rFonts w:hint="eastAsia"/>
                <w:lang w:val="en-US" w:eastAsia="zh-CN"/>
              </w:rPr>
              <w:t>3、信息显示包括设备状态信息、报警信息和以3D图显示的设备排布位置信息；</w:t>
            </w:r>
            <w:r>
              <w:rPr>
                <w:rFonts w:hint="eastAsia"/>
                <w:lang w:val="en-US" w:eastAsia="zh-CN"/>
              </w:rPr>
              <w:br w:type="textWrapping"/>
            </w:r>
            <w:r>
              <w:t>▲</w:t>
            </w:r>
            <w:r>
              <w:rPr>
                <w:rFonts w:hint="eastAsia"/>
                <w:lang w:val="en-US" w:eastAsia="zh-CN"/>
              </w:rPr>
              <w:t>4、系统支持场景仿真运行，在不运行实际设备的情况下模拟运行，在降低设备运行损耗的情况下还原设备运行效果；</w:t>
            </w:r>
            <w:r>
              <w:rPr>
                <w:rFonts w:hint="eastAsia"/>
                <w:lang w:val="en-US" w:eastAsia="zh-CN"/>
              </w:rPr>
              <w:br w:type="textWrapping"/>
            </w:r>
            <w:r>
              <w:t>▲</w:t>
            </w:r>
            <w:r>
              <w:rPr>
                <w:rFonts w:hint="eastAsia"/>
                <w:lang w:val="en-US" w:eastAsia="zh-CN"/>
              </w:rPr>
              <w:t>5、控制系统在编组中的场景编辑中支持表格化编辑，可通过设备记忆位置快速设定运行参数，可一键设定多个设备运行速度或目标位置，剧目管理中可快捷添加多个新建场景；</w:t>
            </w:r>
            <w:r>
              <w:rPr>
                <w:rFonts w:hint="eastAsia"/>
                <w:lang w:val="en-US" w:eastAsia="zh-CN"/>
              </w:rPr>
              <w:br w:type="textWrapping"/>
            </w:r>
            <w:r>
              <w:t>▲</w:t>
            </w:r>
            <w:r>
              <w:rPr>
                <w:rFonts w:hint="eastAsia"/>
                <w:lang w:val="en-US" w:eastAsia="zh-CN"/>
              </w:rPr>
              <w:t>6、控制系统在装台模式下可一键设置多个设备的目标位置。</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项</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162,000.00</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162,000.00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lang w:val="en-US" w:eastAsia="zh-CN"/>
              </w:rPr>
            </w:pPr>
            <w:r>
              <w:rPr>
                <w:rFonts w:hint="eastAsia"/>
                <w:lang w:val="en-US" w:eastAsia="zh-CN"/>
              </w:rPr>
              <w:t>12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载荷安全监测系统</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b/>
                <w:bCs/>
              </w:rPr>
              <w:t>◆</w:t>
            </w:r>
            <w:r>
              <w:rPr>
                <w:rFonts w:hint="eastAsia"/>
                <w:lang w:val="en-US" w:eastAsia="zh-CN"/>
              </w:rPr>
              <w:t>1、载荷安全监测系统服务器配备内存≥4G，SSD固态硬盘≥128G，R485接口≥8个，网口≥2个，支持级联；</w:t>
            </w:r>
            <w:r>
              <w:rPr>
                <w:rFonts w:hint="eastAsia"/>
                <w:lang w:val="en-US" w:eastAsia="zh-CN"/>
              </w:rPr>
              <w:br w:type="textWrapping"/>
            </w:r>
            <w:r>
              <w:rPr>
                <w:b/>
                <w:bCs/>
              </w:rPr>
              <w:t>◆</w:t>
            </w:r>
            <w:r>
              <w:rPr>
                <w:rFonts w:hint="eastAsia"/>
                <w:lang w:val="en-US" w:eastAsia="zh-CN"/>
              </w:rPr>
              <w:t>2、载荷安全监测系统需与舞台机械控制系统-操作系统兼容，可在主操作台、移动操作台上实时查看机械设备载荷情况；</w:t>
            </w:r>
            <w:r>
              <w:rPr>
                <w:rFonts w:hint="eastAsia"/>
                <w:lang w:val="en-US" w:eastAsia="zh-CN"/>
              </w:rPr>
              <w:br w:type="textWrapping"/>
            </w:r>
            <w:r>
              <w:rPr>
                <w:b/>
                <w:bCs/>
              </w:rPr>
              <w:t>◆</w:t>
            </w:r>
            <w:r>
              <w:rPr>
                <w:rFonts w:hint="eastAsia"/>
                <w:lang w:val="en-US" w:eastAsia="zh-CN"/>
              </w:rPr>
              <w:t>3、载荷安全监测系统数据显示支持表格化、柱状图等显示方式；</w:t>
            </w:r>
            <w:r>
              <w:rPr>
                <w:rFonts w:hint="eastAsia"/>
                <w:lang w:val="en-US" w:eastAsia="zh-CN"/>
              </w:rPr>
              <w:br w:type="textWrapping"/>
            </w:r>
            <w:r>
              <w:rPr>
                <w:rFonts w:hint="eastAsia"/>
                <w:lang w:val="en-US" w:eastAsia="zh-CN"/>
              </w:rPr>
              <w:t>4、当机械设备载荷超过最大载荷设定值时，载荷安全监测系统须立即报警并将运行中的机械设备实现安全停车。</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项</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60,000.00</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60,000.00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lang w:val="en-US" w:eastAsia="zh-CN"/>
              </w:rPr>
            </w:pPr>
            <w:r>
              <w:rPr>
                <w:rFonts w:hint="eastAsia"/>
                <w:lang w:val="en-US" w:eastAsia="zh-CN"/>
              </w:rPr>
              <w:t>13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安全管理系统</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b/>
                <w:bCs/>
              </w:rPr>
              <w:t>◆</w:t>
            </w:r>
            <w:r>
              <w:rPr>
                <w:rFonts w:hint="eastAsia"/>
                <w:lang w:val="en-US" w:eastAsia="zh-CN"/>
              </w:rPr>
              <w:t>系统需配置独立的性能可靠的安全管理系统，安全管理系统须采用“系统安全功能”达到SIL3等级要求的安全控制器，能有效地对系统安全进行控制管理。</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项</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38,000.00</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ascii="Times New Roman" w:hAnsi="Times New Roman" w:eastAsia="Times New Roman" w:cs="Arial Unicode MS"/>
                <w:color w:val="auto"/>
                <w:spacing w:val="0"/>
                <w:w w:val="100"/>
                <w:position w:val="0"/>
                <w:sz w:val="24"/>
                <w:szCs w:val="24"/>
                <w:shd w:val="clear" w:color="auto" w:fill="auto"/>
                <w:lang w:val="en-US" w:eastAsia="zh-CN" w:bidi="en-US"/>
              </w:rPr>
            </w:pPr>
            <w:r>
              <w:rPr>
                <w:rFonts w:hint="eastAsia"/>
                <w:lang w:val="en-US" w:eastAsia="zh-CN"/>
              </w:rPr>
              <w:t>38,000.00</w:t>
            </w:r>
          </w:p>
        </w:tc>
      </w:tr>
    </w:tbl>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74" w:lineRule="exact"/>
        <w:ind w:right="0" w:rightChars="0"/>
        <w:jc w:val="left"/>
        <w:textAlignment w:val="auto"/>
        <w:rPr>
          <w:rFonts w:hint="eastAsia" w:ascii="仿宋" w:hAnsi="仿宋" w:eastAsia="仿宋" w:cs="仿宋"/>
          <w:b/>
          <w:bCs/>
          <w:sz w:val="32"/>
          <w:szCs w:val="32"/>
          <w:u w:val="none" w:color="auto"/>
          <w:lang w:val="en-US" w:eastAsia="zh-CN"/>
        </w:rPr>
        <w:sectPr>
          <w:pgSz w:w="16838" w:h="11906" w:orient="landscape"/>
          <w:pgMar w:top="1134" w:right="1440" w:bottom="1134" w:left="1440" w:header="851" w:footer="992" w:gutter="0"/>
          <w:cols w:space="0" w:num="1"/>
          <w:rtlGutter w:val="0"/>
          <w:docGrid w:type="lines" w:linePitch="332" w:charSpace="0"/>
        </w:sectPr>
      </w:pP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1.报价需包含人工费、材料费、运输费、装卸费、税金、调试费、安装费等费用；</w:t>
      </w:r>
    </w:p>
    <w:p>
      <w:pPr>
        <w:pStyle w:val="10"/>
        <w:ind w:left="0" w:leftChars="0" w:firstLine="640" w:firstLineChars="200"/>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2.实施内容必须与上述明细表完全吻合。</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评分标准</w:t>
      </w:r>
    </w:p>
    <w:tbl>
      <w:tblPr>
        <w:tblStyle w:val="11"/>
        <w:tblpPr w:leftFromText="180" w:rightFromText="180" w:vertAnchor="text" w:horzAnchor="page" w:tblpX="1491" w:tblpY="309"/>
        <w:tblOverlap w:val="never"/>
        <w:tblW w:w="92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9"/>
        <w:gridCol w:w="1220"/>
        <w:gridCol w:w="486"/>
        <w:gridCol w:w="5103"/>
        <w:gridCol w:w="1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489" w:type="dxa"/>
            <w:tcBorders>
              <w:top w:val="single" w:color="auto" w:sz="4" w:space="0"/>
              <w:left w:val="single" w:color="auto" w:sz="4" w:space="0"/>
              <w:bottom w:val="single" w:color="auto" w:sz="4" w:space="0"/>
              <w:right w:val="single" w:color="auto" w:sz="4" w:space="0"/>
            </w:tcBorders>
            <w:vAlign w:val="center"/>
          </w:tcPr>
          <w:p>
            <w:r>
              <w:rPr>
                <w:rFonts w:hint="eastAsia"/>
              </w:rPr>
              <w:t>序号</w:t>
            </w:r>
          </w:p>
        </w:tc>
        <w:tc>
          <w:tcPr>
            <w:tcW w:w="1220" w:type="dxa"/>
            <w:tcBorders>
              <w:top w:val="single" w:color="auto" w:sz="4" w:space="0"/>
              <w:left w:val="single" w:color="auto" w:sz="4" w:space="0"/>
              <w:bottom w:val="single" w:color="auto" w:sz="4" w:space="0"/>
              <w:right w:val="single" w:color="auto" w:sz="4" w:space="0"/>
            </w:tcBorders>
            <w:vAlign w:val="center"/>
          </w:tcPr>
          <w:p>
            <w:r>
              <w:rPr>
                <w:rFonts w:hint="eastAsia"/>
              </w:rPr>
              <w:t>评分因素及权重</w:t>
            </w:r>
          </w:p>
        </w:tc>
        <w:tc>
          <w:tcPr>
            <w:tcW w:w="486" w:type="dxa"/>
            <w:tcBorders>
              <w:top w:val="single" w:color="auto" w:sz="4" w:space="0"/>
              <w:left w:val="single" w:color="auto" w:sz="4" w:space="0"/>
              <w:bottom w:val="single" w:color="auto" w:sz="4" w:space="0"/>
              <w:right w:val="single" w:color="auto" w:sz="4" w:space="0"/>
            </w:tcBorders>
            <w:vAlign w:val="center"/>
          </w:tcPr>
          <w:p>
            <w:r>
              <w:rPr>
                <w:rFonts w:hint="eastAsia"/>
              </w:rPr>
              <w:t>分值</w:t>
            </w:r>
          </w:p>
        </w:tc>
        <w:tc>
          <w:tcPr>
            <w:tcW w:w="5103" w:type="dxa"/>
            <w:tcBorders>
              <w:top w:val="single" w:color="auto" w:sz="4" w:space="0"/>
              <w:left w:val="single" w:color="auto" w:sz="4" w:space="0"/>
              <w:bottom w:val="single" w:color="auto" w:sz="4" w:space="0"/>
              <w:right w:val="single" w:color="auto" w:sz="4" w:space="0"/>
            </w:tcBorders>
            <w:vAlign w:val="center"/>
          </w:tcPr>
          <w:p>
            <w:r>
              <w:rPr>
                <w:rFonts w:hint="eastAsia"/>
              </w:rPr>
              <w:t>评分标准</w:t>
            </w:r>
          </w:p>
        </w:tc>
        <w:tc>
          <w:tcPr>
            <w:tcW w:w="1973" w:type="dxa"/>
            <w:tcBorders>
              <w:top w:val="single" w:color="auto" w:sz="4" w:space="0"/>
              <w:left w:val="single" w:color="auto" w:sz="4" w:space="0"/>
              <w:bottom w:val="single" w:color="auto" w:sz="4" w:space="0"/>
              <w:right w:val="single" w:color="auto" w:sz="4" w:space="0"/>
            </w:tcBorders>
            <w:vAlign w:val="center"/>
          </w:tcPr>
          <w:p>
            <w:r>
              <w:rPr>
                <w:rFonts w:hint="eastAsia"/>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489" w:type="dxa"/>
            <w:tcBorders>
              <w:top w:val="single" w:color="auto" w:sz="4" w:space="0"/>
              <w:left w:val="single" w:color="auto" w:sz="4" w:space="0"/>
              <w:bottom w:val="single" w:color="auto" w:sz="4" w:space="0"/>
              <w:right w:val="single" w:color="auto" w:sz="4" w:space="0"/>
            </w:tcBorders>
            <w:vAlign w:val="center"/>
          </w:tcPr>
          <w:p>
            <w:r>
              <w:rPr>
                <w:rFonts w:hint="eastAsia"/>
              </w:rPr>
              <w:t>1</w:t>
            </w:r>
          </w:p>
        </w:tc>
        <w:tc>
          <w:tcPr>
            <w:tcW w:w="1220" w:type="dxa"/>
            <w:tcBorders>
              <w:top w:val="single" w:color="auto" w:sz="4" w:space="0"/>
              <w:left w:val="single" w:color="auto" w:sz="4" w:space="0"/>
              <w:bottom w:val="single" w:color="auto" w:sz="4" w:space="0"/>
              <w:right w:val="single" w:color="auto" w:sz="4" w:space="0"/>
            </w:tcBorders>
            <w:vAlign w:val="center"/>
          </w:tcPr>
          <w:p>
            <w:r>
              <w:rPr>
                <w:rFonts w:hint="eastAsia"/>
              </w:rPr>
              <w:t>报价</w:t>
            </w:r>
          </w:p>
        </w:tc>
        <w:tc>
          <w:tcPr>
            <w:tcW w:w="486" w:type="dxa"/>
            <w:tcBorders>
              <w:top w:val="single" w:color="auto" w:sz="4" w:space="0"/>
              <w:left w:val="single" w:color="auto" w:sz="4" w:space="0"/>
              <w:bottom w:val="single" w:color="auto" w:sz="4" w:space="0"/>
              <w:right w:val="single" w:color="auto" w:sz="4" w:space="0"/>
            </w:tcBorders>
            <w:vAlign w:val="center"/>
          </w:tcPr>
          <w:p>
            <w:pPr>
              <w:rPr>
                <w:rFonts w:hint="eastAsia"/>
                <w:lang w:eastAsia="zh-CN"/>
              </w:rPr>
            </w:pPr>
            <w:r>
              <w:rPr>
                <w:rFonts w:hint="eastAsia"/>
                <w:lang w:val="en-US" w:eastAsia="zh-CN"/>
              </w:rPr>
              <w:t>15</w:t>
            </w:r>
          </w:p>
        </w:tc>
        <w:tc>
          <w:tcPr>
            <w:tcW w:w="5103" w:type="dxa"/>
            <w:tcBorders>
              <w:top w:val="single" w:color="auto" w:sz="4" w:space="0"/>
              <w:left w:val="single" w:color="auto" w:sz="4" w:space="0"/>
              <w:bottom w:val="single" w:color="auto" w:sz="4" w:space="0"/>
              <w:right w:val="single" w:color="auto" w:sz="4" w:space="0"/>
            </w:tcBorders>
            <w:vAlign w:val="center"/>
          </w:tcPr>
          <w:p>
            <w:pPr>
              <w:rPr>
                <w:rFonts w:hint="eastAsia"/>
                <w:lang w:eastAsia="zh-CN"/>
              </w:rPr>
            </w:pPr>
            <w:r>
              <w:rPr>
                <w:rFonts w:hint="eastAsia"/>
                <w:lang w:eastAsia="zh-CN"/>
              </w:rPr>
              <w:t xml:space="preserve">投标报价得分=(基准价／投标报价)* </w:t>
            </w:r>
            <w:r>
              <w:rPr>
                <w:rFonts w:hint="eastAsia"/>
                <w:lang w:val="en-US" w:eastAsia="zh-CN"/>
              </w:rPr>
              <w:t>15</w:t>
            </w:r>
            <w:r>
              <w:rPr>
                <w:rFonts w:hint="eastAsia"/>
                <w:lang w:eastAsia="zh-CN"/>
              </w:rPr>
              <w:t>分*100%。</w:t>
            </w:r>
          </w:p>
          <w:p>
            <w:r>
              <w:rPr>
                <w:rFonts w:hint="eastAsia"/>
                <w:lang w:val="en-US" w:eastAsia="zh-CN"/>
              </w:rPr>
              <w:t>基准价计算方法：有效的投标报价的算数平均值为评标基准价。</w:t>
            </w:r>
          </w:p>
        </w:tc>
        <w:tc>
          <w:tcPr>
            <w:tcW w:w="1973" w:type="dxa"/>
            <w:tcBorders>
              <w:top w:val="single" w:color="auto" w:sz="4" w:space="0"/>
              <w:left w:val="single" w:color="auto" w:sz="4" w:space="0"/>
              <w:bottom w:val="single" w:color="auto" w:sz="4" w:space="0"/>
              <w:right w:val="single" w:color="auto" w:sz="4" w:space="0"/>
            </w:tcBorders>
            <w:vAlign w:val="center"/>
          </w:tcPr>
          <w:p>
            <w:r>
              <w:rPr>
                <w:rFonts w:hint="eastAsia"/>
              </w:rPr>
              <w:t>投标人报价明显</w:t>
            </w:r>
            <w:r>
              <w:rPr>
                <w:rFonts w:hint="eastAsia"/>
                <w:lang w:val="en-US" w:eastAsia="zh-CN"/>
              </w:rPr>
              <w:t>低于基准价的70%</w:t>
            </w:r>
            <w:r>
              <w:rPr>
                <w:rFonts w:hint="eastAsia"/>
              </w:rPr>
              <w:t>，评标委员会认定具有恶性竞争嫌疑，要求其作出解释，其解释被评委会接受，可确定其报价合理；如不被评委会接受，评委会将不予认可，将作为无效投标书处理。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trPr>
        <w:tc>
          <w:tcPr>
            <w:tcW w:w="489" w:type="dxa"/>
            <w:tcBorders>
              <w:top w:val="single" w:color="auto" w:sz="4" w:space="0"/>
              <w:left w:val="single" w:color="auto" w:sz="4" w:space="0"/>
              <w:bottom w:val="single" w:color="auto" w:sz="4" w:space="0"/>
              <w:right w:val="single" w:color="auto" w:sz="4" w:space="0"/>
            </w:tcBorders>
            <w:vAlign w:val="center"/>
          </w:tcPr>
          <w:p>
            <w:r>
              <w:rPr>
                <w:rFonts w:hint="eastAsia"/>
              </w:rPr>
              <w:t>2</w:t>
            </w:r>
          </w:p>
        </w:tc>
        <w:tc>
          <w:tcPr>
            <w:tcW w:w="1220" w:type="dxa"/>
            <w:tcBorders>
              <w:top w:val="single" w:color="auto" w:sz="4" w:space="0"/>
              <w:left w:val="single" w:color="auto" w:sz="4" w:space="0"/>
              <w:bottom w:val="single" w:color="auto" w:sz="4" w:space="0"/>
              <w:right w:val="single" w:color="auto" w:sz="4" w:space="0"/>
            </w:tcBorders>
            <w:vAlign w:val="center"/>
          </w:tcPr>
          <w:p>
            <w:r>
              <w:rPr>
                <w:rFonts w:hint="eastAsia"/>
                <w:lang w:eastAsia="zh-CN"/>
              </w:rPr>
              <w:t>企业认证</w:t>
            </w:r>
          </w:p>
        </w:tc>
        <w:tc>
          <w:tcPr>
            <w:tcW w:w="486" w:type="dxa"/>
            <w:tcBorders>
              <w:top w:val="single" w:color="auto" w:sz="4" w:space="0"/>
              <w:left w:val="single" w:color="auto" w:sz="4" w:space="0"/>
              <w:bottom w:val="single" w:color="auto" w:sz="4" w:space="0"/>
              <w:right w:val="single" w:color="auto" w:sz="4" w:space="0"/>
            </w:tcBorders>
            <w:vAlign w:val="center"/>
          </w:tcPr>
          <w:p>
            <w:r>
              <w:rPr>
                <w:rFonts w:hint="eastAsia"/>
              </w:rPr>
              <w:t>10</w:t>
            </w:r>
          </w:p>
        </w:tc>
        <w:tc>
          <w:tcPr>
            <w:tcW w:w="5103" w:type="dxa"/>
            <w:tcBorders>
              <w:top w:val="single" w:color="auto" w:sz="4" w:space="0"/>
              <w:left w:val="single" w:color="auto" w:sz="4" w:space="0"/>
              <w:bottom w:val="single" w:color="auto" w:sz="4" w:space="0"/>
              <w:right w:val="single" w:color="auto" w:sz="4" w:space="0"/>
            </w:tcBorders>
            <w:vAlign w:val="center"/>
          </w:tcPr>
          <w:p>
            <w:pPr>
              <w:rPr>
                <w:rFonts w:hint="eastAsia"/>
                <w:lang w:val="en-US" w:eastAsia="zh-CN"/>
              </w:rPr>
            </w:pPr>
            <w:r>
              <w:rPr>
                <w:rFonts w:hint="eastAsia"/>
                <w:lang w:eastAsia="zh-CN"/>
              </w:rPr>
              <w:t>1、投标人具有中国演艺设备技术协会颁发的舞台机械工程综合技术能力壹级证书的得</w:t>
            </w:r>
            <w:r>
              <w:rPr>
                <w:rFonts w:hint="eastAsia"/>
                <w:lang w:val="en-US" w:eastAsia="zh-CN"/>
              </w:rPr>
              <w:t>2</w:t>
            </w:r>
            <w:r>
              <w:rPr>
                <w:rFonts w:hint="eastAsia"/>
                <w:lang w:eastAsia="zh-CN"/>
              </w:rPr>
              <w:t>分，</w:t>
            </w:r>
            <w:r>
              <w:rPr>
                <w:rFonts w:hint="eastAsia"/>
                <w:lang w:val="en-US" w:eastAsia="zh-CN"/>
              </w:rPr>
              <w:t>贰</w:t>
            </w:r>
            <w:r>
              <w:rPr>
                <w:rFonts w:hint="eastAsia"/>
                <w:lang w:eastAsia="zh-CN"/>
              </w:rPr>
              <w:t>级证书的得</w:t>
            </w:r>
            <w:r>
              <w:rPr>
                <w:rFonts w:hint="eastAsia"/>
                <w:lang w:val="en-US" w:eastAsia="zh-CN"/>
              </w:rPr>
              <w:t>1</w:t>
            </w:r>
            <w:r>
              <w:rPr>
                <w:rFonts w:hint="eastAsia"/>
                <w:lang w:eastAsia="zh-CN"/>
              </w:rPr>
              <w:t>分，</w:t>
            </w:r>
            <w:r>
              <w:rPr>
                <w:rFonts w:hint="eastAsia"/>
                <w:lang w:val="en-US" w:eastAsia="zh-CN"/>
              </w:rPr>
              <w:t>其余不得分；</w:t>
            </w:r>
          </w:p>
          <w:p>
            <w:pPr>
              <w:rPr>
                <w:rFonts w:hint="eastAsia"/>
                <w:lang w:eastAsia="zh-CN"/>
              </w:rPr>
            </w:pPr>
            <w:r>
              <w:rPr>
                <w:rFonts w:hint="eastAsia"/>
                <w:lang w:val="en-US" w:eastAsia="zh-CN"/>
              </w:rPr>
              <w:t>2</w:t>
            </w:r>
            <w:r>
              <w:rPr>
                <w:rFonts w:hint="eastAsia"/>
                <w:lang w:eastAsia="zh-CN"/>
              </w:rPr>
              <w:t>、投标人具有有效期内的建设行政部门颁发的建筑机电安装工程专业承包壹级资质的得</w:t>
            </w:r>
            <w:r>
              <w:rPr>
                <w:rFonts w:hint="eastAsia"/>
                <w:lang w:val="en-US" w:eastAsia="zh-CN"/>
              </w:rPr>
              <w:t>2</w:t>
            </w:r>
            <w:r>
              <w:rPr>
                <w:rFonts w:hint="eastAsia"/>
                <w:lang w:eastAsia="zh-CN"/>
              </w:rPr>
              <w:t>分，</w:t>
            </w:r>
            <w:r>
              <w:rPr>
                <w:rFonts w:hint="eastAsia"/>
                <w:lang w:val="en-US" w:eastAsia="zh-CN"/>
              </w:rPr>
              <w:t>贰</w:t>
            </w:r>
            <w:r>
              <w:rPr>
                <w:rFonts w:hint="eastAsia"/>
                <w:lang w:eastAsia="zh-CN"/>
              </w:rPr>
              <w:t>级得</w:t>
            </w:r>
            <w:r>
              <w:rPr>
                <w:rFonts w:hint="eastAsia"/>
                <w:lang w:val="en-US" w:eastAsia="zh-CN"/>
              </w:rPr>
              <w:t>1</w:t>
            </w:r>
            <w:r>
              <w:rPr>
                <w:rFonts w:hint="eastAsia"/>
                <w:lang w:eastAsia="zh-CN"/>
              </w:rPr>
              <w:t>分，</w:t>
            </w:r>
            <w:r>
              <w:rPr>
                <w:rFonts w:hint="eastAsia"/>
                <w:lang w:val="en-US" w:eastAsia="zh-CN"/>
              </w:rPr>
              <w:t>其余不得分</w:t>
            </w:r>
            <w:r>
              <w:rPr>
                <w:rFonts w:hint="eastAsia"/>
                <w:lang w:eastAsia="zh-CN"/>
              </w:rPr>
              <w:t>；</w:t>
            </w:r>
          </w:p>
          <w:p>
            <w:pPr>
              <w:rPr>
                <w:rFonts w:hint="eastAsia"/>
                <w:lang w:val="en-US" w:eastAsia="zh-CN"/>
              </w:rPr>
            </w:pPr>
            <w:r>
              <w:rPr>
                <w:rFonts w:hint="eastAsia"/>
                <w:lang w:val="en-US" w:eastAsia="zh-CN"/>
              </w:rPr>
              <w:t>3、</w:t>
            </w:r>
            <w:r>
              <w:rPr>
                <w:rFonts w:hint="eastAsia"/>
                <w:lang w:eastAsia="zh-CN"/>
              </w:rPr>
              <w:t>投标人具有有效期内的建设行政部门颁发的电子与智能化工程专业承包壹级资质的得</w:t>
            </w:r>
            <w:r>
              <w:rPr>
                <w:rFonts w:hint="eastAsia"/>
                <w:lang w:val="en-US" w:eastAsia="zh-CN"/>
              </w:rPr>
              <w:t>2</w:t>
            </w:r>
            <w:r>
              <w:rPr>
                <w:rFonts w:hint="eastAsia"/>
                <w:lang w:eastAsia="zh-CN"/>
              </w:rPr>
              <w:t>分，贰级得</w:t>
            </w:r>
            <w:r>
              <w:rPr>
                <w:rFonts w:hint="eastAsia"/>
                <w:lang w:val="en-US" w:eastAsia="zh-CN"/>
              </w:rPr>
              <w:t>1</w:t>
            </w:r>
            <w:r>
              <w:rPr>
                <w:rFonts w:hint="eastAsia"/>
                <w:lang w:eastAsia="zh-CN"/>
              </w:rPr>
              <w:t>分，</w:t>
            </w:r>
            <w:r>
              <w:rPr>
                <w:rFonts w:hint="eastAsia"/>
                <w:lang w:val="en-US" w:eastAsia="zh-CN"/>
              </w:rPr>
              <w:t>其余不得分；</w:t>
            </w:r>
          </w:p>
          <w:p>
            <w:pPr>
              <w:rPr>
                <w:rFonts w:hint="eastAsia"/>
                <w:lang w:eastAsia="zh-CN"/>
              </w:rPr>
            </w:pPr>
            <w:r>
              <w:rPr>
                <w:rFonts w:hint="eastAsia"/>
                <w:lang w:val="en-US" w:eastAsia="zh-CN"/>
              </w:rPr>
              <w:t>4、</w:t>
            </w:r>
            <w:r>
              <w:rPr>
                <w:rFonts w:hint="eastAsia"/>
                <w:lang w:eastAsia="zh-CN"/>
              </w:rPr>
              <w:t>投标人具有有效期内的建设行政部门颁发的</w:t>
            </w:r>
            <w:r>
              <w:rPr>
                <w:rFonts w:hint="eastAsia"/>
                <w:lang w:val="en-US" w:eastAsia="zh-CN"/>
              </w:rPr>
              <w:t>钢结构工程专业承包贰级及以上</w:t>
            </w:r>
            <w:r>
              <w:rPr>
                <w:rFonts w:hint="eastAsia"/>
                <w:lang w:eastAsia="zh-CN"/>
              </w:rPr>
              <w:t>资质的得</w:t>
            </w:r>
            <w:r>
              <w:rPr>
                <w:rFonts w:hint="eastAsia"/>
                <w:lang w:val="en-US" w:eastAsia="zh-CN"/>
              </w:rPr>
              <w:t>2</w:t>
            </w:r>
            <w:r>
              <w:rPr>
                <w:rFonts w:hint="eastAsia"/>
                <w:lang w:eastAsia="zh-CN"/>
              </w:rPr>
              <w:t>分，</w:t>
            </w:r>
            <w:r>
              <w:rPr>
                <w:rFonts w:hint="eastAsia"/>
                <w:lang w:val="en-US" w:eastAsia="zh-CN"/>
              </w:rPr>
              <w:t>其余不得分；</w:t>
            </w:r>
          </w:p>
          <w:p>
            <w:pPr>
              <w:rPr>
                <w:rFonts w:hint="eastAsia"/>
                <w:lang w:eastAsia="zh-CN"/>
              </w:rPr>
            </w:pPr>
            <w:r>
              <w:rPr>
                <w:rFonts w:hint="eastAsia"/>
                <w:lang w:val="en-US" w:eastAsia="zh-CN"/>
              </w:rPr>
              <w:t>5、</w:t>
            </w:r>
            <w:r>
              <w:rPr>
                <w:rFonts w:hint="eastAsia"/>
                <w:lang w:eastAsia="zh-CN"/>
              </w:rPr>
              <w:t>投标人具有质量管理体系认证、环境管理体系认证、职业健康安全管理体系认证、知识产权管理认证证书的，每个得0.5分，最多</w:t>
            </w:r>
            <w:r>
              <w:rPr>
                <w:rFonts w:hint="eastAsia"/>
                <w:lang w:val="en-US" w:eastAsia="zh-CN"/>
              </w:rPr>
              <w:t>得</w:t>
            </w:r>
            <w:r>
              <w:rPr>
                <w:rFonts w:hint="eastAsia"/>
                <w:lang w:eastAsia="zh-CN"/>
              </w:rPr>
              <w:t>2分。</w:t>
            </w:r>
          </w:p>
          <w:p>
            <w:r>
              <w:rPr>
                <w:rFonts w:hint="eastAsia"/>
                <w:lang w:eastAsia="zh-CN"/>
              </w:rPr>
              <w:t>注:需提供各项证书扫描件。</w:t>
            </w:r>
          </w:p>
        </w:tc>
        <w:tc>
          <w:tcPr>
            <w:tcW w:w="1973" w:type="dxa"/>
            <w:tcBorders>
              <w:top w:val="single" w:color="auto" w:sz="4" w:space="0"/>
              <w:left w:val="single" w:color="auto" w:sz="4" w:space="0"/>
              <w:bottom w:val="single" w:color="auto" w:sz="4" w:space="0"/>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489" w:type="dxa"/>
            <w:tcBorders>
              <w:top w:val="single" w:color="auto" w:sz="4" w:space="0"/>
              <w:left w:val="single" w:color="auto" w:sz="4" w:space="0"/>
              <w:bottom w:val="single" w:color="auto" w:sz="4" w:space="0"/>
              <w:right w:val="single" w:color="auto" w:sz="4" w:space="0"/>
            </w:tcBorders>
            <w:vAlign w:val="center"/>
          </w:tcPr>
          <w:p>
            <w:r>
              <w:rPr>
                <w:rFonts w:hint="eastAsia"/>
              </w:rPr>
              <w:t>3</w:t>
            </w:r>
          </w:p>
        </w:tc>
        <w:tc>
          <w:tcPr>
            <w:tcW w:w="1220" w:type="dxa"/>
            <w:tcBorders>
              <w:top w:val="single" w:color="auto" w:sz="4" w:space="0"/>
              <w:left w:val="single" w:color="auto" w:sz="4" w:space="0"/>
              <w:bottom w:val="single" w:color="auto" w:sz="4" w:space="0"/>
              <w:right w:val="single" w:color="auto" w:sz="4" w:space="0"/>
            </w:tcBorders>
            <w:vAlign w:val="center"/>
          </w:tcPr>
          <w:p>
            <w:r>
              <w:rPr>
                <w:rFonts w:hint="eastAsia"/>
                <w:lang w:eastAsia="zh-CN"/>
              </w:rPr>
              <w:t>企业业绩</w:t>
            </w:r>
          </w:p>
        </w:tc>
        <w:tc>
          <w:tcPr>
            <w:tcW w:w="486" w:type="dxa"/>
            <w:tcBorders>
              <w:top w:val="single" w:color="auto" w:sz="4" w:space="0"/>
              <w:left w:val="single" w:color="auto" w:sz="4" w:space="0"/>
              <w:bottom w:val="single" w:color="auto" w:sz="4" w:space="0"/>
              <w:right w:val="single" w:color="auto" w:sz="4" w:space="0"/>
            </w:tcBorders>
            <w:vAlign w:val="center"/>
          </w:tcPr>
          <w:p>
            <w:pPr>
              <w:rPr>
                <w:rFonts w:hint="eastAsia"/>
                <w:lang w:eastAsia="zh-CN"/>
              </w:rPr>
            </w:pPr>
            <w:r>
              <w:rPr>
                <w:rFonts w:hint="eastAsia"/>
                <w:lang w:val="en-US" w:eastAsia="zh-CN"/>
              </w:rPr>
              <w:t>8</w:t>
            </w:r>
          </w:p>
        </w:tc>
        <w:tc>
          <w:tcPr>
            <w:tcW w:w="5103" w:type="dxa"/>
            <w:tcBorders>
              <w:top w:val="single" w:color="auto" w:sz="4" w:space="0"/>
              <w:left w:val="single" w:color="auto" w:sz="4" w:space="0"/>
              <w:bottom w:val="single" w:color="auto" w:sz="4" w:space="0"/>
              <w:right w:val="single" w:color="auto" w:sz="4" w:space="0"/>
            </w:tcBorders>
            <w:vAlign w:val="center"/>
          </w:tcPr>
          <w:p>
            <w:pPr>
              <w:rPr>
                <w:rFonts w:hint="eastAsia"/>
                <w:lang w:eastAsia="zh-CN"/>
              </w:rPr>
            </w:pPr>
            <w:r>
              <w:rPr>
                <w:rFonts w:hint="eastAsia"/>
                <w:lang w:eastAsia="zh-CN"/>
              </w:rPr>
              <w:t>投标人近5年内(201</w:t>
            </w:r>
            <w:r>
              <w:rPr>
                <w:rFonts w:hint="eastAsia"/>
                <w:lang w:val="en-US" w:eastAsia="zh-CN"/>
              </w:rPr>
              <w:t>9</w:t>
            </w:r>
            <w:r>
              <w:rPr>
                <w:rFonts w:hint="eastAsia"/>
                <w:lang w:eastAsia="zh-CN"/>
              </w:rPr>
              <w:t>年至投标截止时间），投标人完成过合同金额在</w:t>
            </w:r>
            <w:r>
              <w:rPr>
                <w:rFonts w:hint="eastAsia"/>
                <w:lang w:val="en-US" w:eastAsia="zh-CN"/>
              </w:rPr>
              <w:t>2000</w:t>
            </w:r>
            <w:r>
              <w:rPr>
                <w:rFonts w:hint="eastAsia"/>
                <w:lang w:eastAsia="zh-CN"/>
              </w:rPr>
              <w:t>万元及以上的类似剧院、剧场、文化中心</w:t>
            </w:r>
            <w:r>
              <w:rPr>
                <w:rFonts w:hint="eastAsia"/>
                <w:lang w:val="en-US" w:eastAsia="zh-CN"/>
              </w:rPr>
              <w:t>等固定场所</w:t>
            </w:r>
            <w:r>
              <w:rPr>
                <w:rFonts w:hint="eastAsia"/>
                <w:lang w:eastAsia="zh-CN"/>
              </w:rPr>
              <w:t>舞台</w:t>
            </w:r>
            <w:r>
              <w:rPr>
                <w:rFonts w:hint="eastAsia"/>
                <w:lang w:val="en-US" w:eastAsia="zh-CN"/>
              </w:rPr>
              <w:t>设备系统</w:t>
            </w:r>
            <w:r>
              <w:rPr>
                <w:rFonts w:hint="eastAsia"/>
                <w:lang w:eastAsia="zh-CN"/>
              </w:rPr>
              <w:t>工程（</w:t>
            </w:r>
            <w:r>
              <w:rPr>
                <w:rFonts w:hint="eastAsia"/>
                <w:lang w:val="en-US" w:eastAsia="zh-CN"/>
              </w:rPr>
              <w:t>必须包含舞台机械系统</w:t>
            </w:r>
            <w:r>
              <w:rPr>
                <w:rFonts w:hint="eastAsia"/>
                <w:lang w:eastAsia="zh-CN"/>
              </w:rPr>
              <w:t>），每个得2分，满分</w:t>
            </w:r>
            <w:r>
              <w:rPr>
                <w:rFonts w:hint="eastAsia"/>
                <w:lang w:val="en-US" w:eastAsia="zh-CN"/>
              </w:rPr>
              <w:t>8</w:t>
            </w:r>
            <w:r>
              <w:rPr>
                <w:rFonts w:hint="eastAsia"/>
                <w:lang w:eastAsia="zh-CN"/>
              </w:rPr>
              <w:t>分。</w:t>
            </w:r>
          </w:p>
          <w:p>
            <w:r>
              <w:rPr>
                <w:rFonts w:hint="eastAsia"/>
                <w:lang w:eastAsia="zh-CN"/>
              </w:rPr>
              <w:t>注：项目业绩以</w:t>
            </w:r>
            <w:r>
              <w:rPr>
                <w:rFonts w:hint="eastAsia"/>
                <w:lang w:val="en-US" w:eastAsia="zh-CN"/>
              </w:rPr>
              <w:t>已验收</w:t>
            </w:r>
            <w:r>
              <w:rPr>
                <w:rFonts w:hint="eastAsia"/>
                <w:lang w:eastAsia="zh-CN"/>
              </w:rPr>
              <w:t>时间为准,满分</w:t>
            </w:r>
            <w:r>
              <w:rPr>
                <w:rFonts w:hint="eastAsia"/>
                <w:lang w:val="en-US" w:eastAsia="zh-CN"/>
              </w:rPr>
              <w:t>8</w:t>
            </w:r>
            <w:r>
              <w:rPr>
                <w:rFonts w:hint="eastAsia"/>
                <w:lang w:eastAsia="zh-CN"/>
              </w:rPr>
              <w:t>分，需提供中标通知书或合同关键页及验收报告扫描件。</w:t>
            </w:r>
          </w:p>
        </w:tc>
        <w:tc>
          <w:tcPr>
            <w:tcW w:w="1973" w:type="dxa"/>
            <w:tcBorders>
              <w:top w:val="single" w:color="auto" w:sz="4" w:space="0"/>
              <w:left w:val="single" w:color="auto" w:sz="4" w:space="0"/>
              <w:bottom w:val="single" w:color="auto" w:sz="4" w:space="0"/>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489" w:type="dxa"/>
            <w:tcBorders>
              <w:top w:val="single" w:color="auto" w:sz="4" w:space="0"/>
              <w:left w:val="single" w:color="auto" w:sz="4" w:space="0"/>
              <w:bottom w:val="single" w:color="auto" w:sz="4" w:space="0"/>
              <w:right w:val="single" w:color="auto" w:sz="4" w:space="0"/>
            </w:tcBorders>
            <w:vAlign w:val="center"/>
          </w:tcPr>
          <w:p>
            <w:r>
              <w:rPr>
                <w:rFonts w:hint="eastAsia"/>
              </w:rPr>
              <w:t>4</w:t>
            </w:r>
          </w:p>
        </w:tc>
        <w:tc>
          <w:tcPr>
            <w:tcW w:w="1220" w:type="dxa"/>
            <w:tcBorders>
              <w:top w:val="single" w:color="auto" w:sz="4" w:space="0"/>
              <w:left w:val="single" w:color="auto" w:sz="4" w:space="0"/>
              <w:bottom w:val="single" w:color="auto" w:sz="4" w:space="0"/>
              <w:right w:val="single" w:color="auto" w:sz="4" w:space="0"/>
            </w:tcBorders>
            <w:vAlign w:val="center"/>
          </w:tcPr>
          <w:p>
            <w:r>
              <w:rPr>
                <w:rFonts w:hint="eastAsia"/>
                <w:lang w:eastAsia="zh-CN"/>
              </w:rPr>
              <w:t>企业获奖</w:t>
            </w:r>
          </w:p>
        </w:tc>
        <w:tc>
          <w:tcPr>
            <w:tcW w:w="486" w:type="dxa"/>
            <w:tcBorders>
              <w:top w:val="single" w:color="auto" w:sz="4" w:space="0"/>
              <w:left w:val="single" w:color="auto" w:sz="4" w:space="0"/>
              <w:bottom w:val="single" w:color="auto" w:sz="4" w:space="0"/>
              <w:right w:val="single" w:color="auto" w:sz="4" w:space="0"/>
            </w:tcBorders>
            <w:vAlign w:val="center"/>
          </w:tcPr>
          <w:p>
            <w:pPr>
              <w:rPr>
                <w:rFonts w:hint="eastAsia"/>
                <w:lang w:eastAsia="zh-CN"/>
              </w:rPr>
            </w:pPr>
            <w:r>
              <w:rPr>
                <w:rFonts w:hint="eastAsia"/>
                <w:lang w:val="en-US" w:eastAsia="zh-CN"/>
              </w:rPr>
              <w:t>6</w:t>
            </w:r>
          </w:p>
        </w:tc>
        <w:tc>
          <w:tcPr>
            <w:tcW w:w="5103" w:type="dxa"/>
            <w:tcBorders>
              <w:top w:val="single" w:color="auto" w:sz="4" w:space="0"/>
              <w:left w:val="single" w:color="auto" w:sz="4" w:space="0"/>
              <w:bottom w:val="single" w:color="auto" w:sz="4" w:space="0"/>
              <w:right w:val="single" w:color="auto" w:sz="4" w:space="0"/>
            </w:tcBorders>
            <w:vAlign w:val="center"/>
          </w:tcPr>
          <w:p>
            <w:pPr>
              <w:rPr>
                <w:rFonts w:hint="eastAsia"/>
                <w:lang w:val="en-US" w:eastAsia="zh-CN"/>
              </w:rPr>
            </w:pPr>
            <w:r>
              <w:rPr>
                <w:rFonts w:hint="eastAsia"/>
                <w:lang w:val="en-US" w:eastAsia="zh-CN"/>
              </w:rPr>
              <w:t>1、</w:t>
            </w:r>
            <w:r>
              <w:rPr>
                <w:rFonts w:hint="eastAsia"/>
                <w:lang w:eastAsia="zh-CN"/>
              </w:rPr>
              <w:t>201</w:t>
            </w:r>
            <w:r>
              <w:rPr>
                <w:rFonts w:hint="eastAsia"/>
                <w:lang w:val="en-US" w:eastAsia="zh-CN"/>
              </w:rPr>
              <w:t>9</w:t>
            </w:r>
            <w:r>
              <w:rPr>
                <w:rFonts w:hint="eastAsia"/>
                <w:lang w:eastAsia="zh-CN"/>
              </w:rPr>
              <w:t>年（</w:t>
            </w:r>
            <w:r>
              <w:rPr>
                <w:rFonts w:hint="eastAsia"/>
                <w:lang w:val="en-US" w:eastAsia="zh-CN"/>
              </w:rPr>
              <w:t>获奖时间为准</w:t>
            </w:r>
            <w:r>
              <w:rPr>
                <w:rFonts w:hint="eastAsia"/>
                <w:lang w:eastAsia="zh-CN"/>
              </w:rPr>
              <w:t>）至投标截止时间</w:t>
            </w:r>
            <w:r>
              <w:rPr>
                <w:rFonts w:hint="eastAsia"/>
                <w:lang w:val="en-US" w:eastAsia="zh-CN"/>
              </w:rPr>
              <w:t>供应商</w:t>
            </w:r>
            <w:r>
              <w:rPr>
                <w:rFonts w:hint="eastAsia"/>
                <w:lang w:eastAsia="zh-CN"/>
              </w:rPr>
              <w:t>实施过同类工程获国家级工程奖（</w:t>
            </w:r>
            <w:r>
              <w:rPr>
                <w:rFonts w:hint="eastAsia"/>
                <w:lang w:val="en-US" w:eastAsia="zh-CN"/>
              </w:rPr>
              <w:t>鲁班奖或者国家优质工程奖</w:t>
            </w:r>
            <w:r>
              <w:rPr>
                <w:rFonts w:hint="eastAsia"/>
                <w:lang w:eastAsia="zh-CN"/>
              </w:rPr>
              <w:t>）的每项得2分，获省级、自治区级工程奖的每项得1分，</w:t>
            </w:r>
            <w:r>
              <w:rPr>
                <w:rFonts w:hint="eastAsia"/>
                <w:lang w:val="en-US" w:eastAsia="zh-CN"/>
              </w:rPr>
              <w:t>总计4分。</w:t>
            </w:r>
          </w:p>
          <w:p>
            <w:pPr>
              <w:rPr>
                <w:rFonts w:hint="eastAsia"/>
                <w:lang w:eastAsia="zh-CN"/>
              </w:rPr>
            </w:pPr>
            <w:r>
              <w:rPr>
                <w:rFonts w:hint="eastAsia"/>
                <w:lang w:val="en-US" w:eastAsia="zh-CN"/>
              </w:rPr>
              <w:t>注：奖项以颁奖时间为准，同一工程只计取最高级别得分，不重复计分、不累积，需同时提供获奖证书或获奖文件及项目合同关键页扫描件。</w:t>
            </w:r>
          </w:p>
          <w:p>
            <w:pPr>
              <w:rPr>
                <w:rFonts w:hint="eastAsia"/>
                <w:lang w:val="en-US" w:eastAsia="zh-CN"/>
              </w:rPr>
            </w:pPr>
            <w:r>
              <w:rPr>
                <w:rFonts w:hint="eastAsia"/>
                <w:lang w:val="en-US" w:eastAsia="zh-CN"/>
              </w:rPr>
              <w:t>供应商具有省级及以上职能部门颁发的舞台机械新产品（自主研发）鉴定证书的（时间以鉴定验收日期为准），每项得1分，满分2分。</w:t>
            </w:r>
          </w:p>
          <w:p>
            <w:pPr>
              <w:rPr>
                <w:rFonts w:hint="default"/>
                <w:lang w:val="en-US" w:eastAsia="zh-CN"/>
              </w:rPr>
            </w:pPr>
            <w:r>
              <w:rPr>
                <w:rFonts w:hint="eastAsia"/>
                <w:lang w:val="en-US" w:eastAsia="zh-CN"/>
              </w:rPr>
              <w:t>注:需提供证书扫描件。</w:t>
            </w:r>
          </w:p>
        </w:tc>
        <w:tc>
          <w:tcPr>
            <w:tcW w:w="1973" w:type="dxa"/>
            <w:tcBorders>
              <w:top w:val="single" w:color="auto" w:sz="4" w:space="0"/>
              <w:left w:val="single" w:color="auto" w:sz="4" w:space="0"/>
              <w:bottom w:val="single" w:color="auto" w:sz="4" w:space="0"/>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489" w:type="dxa"/>
            <w:tcBorders>
              <w:top w:val="single" w:color="auto" w:sz="4" w:space="0"/>
              <w:left w:val="single" w:color="auto" w:sz="4" w:space="0"/>
              <w:bottom w:val="single" w:color="auto" w:sz="4" w:space="0"/>
              <w:right w:val="single" w:color="auto" w:sz="4" w:space="0"/>
            </w:tcBorders>
            <w:vAlign w:val="center"/>
          </w:tcPr>
          <w:p>
            <w:r>
              <w:rPr>
                <w:rFonts w:hint="eastAsia"/>
              </w:rPr>
              <w:t>5</w:t>
            </w:r>
          </w:p>
        </w:tc>
        <w:tc>
          <w:tcPr>
            <w:tcW w:w="1220" w:type="dxa"/>
            <w:tcBorders>
              <w:top w:val="single" w:color="auto" w:sz="4" w:space="0"/>
              <w:left w:val="single" w:color="auto" w:sz="4" w:space="0"/>
              <w:bottom w:val="single" w:color="auto" w:sz="4" w:space="0"/>
              <w:right w:val="single" w:color="auto" w:sz="4" w:space="0"/>
            </w:tcBorders>
            <w:vAlign w:val="center"/>
          </w:tcPr>
          <w:p>
            <w:r>
              <w:rPr>
                <w:rFonts w:hint="eastAsia"/>
                <w:lang w:eastAsia="zh-CN"/>
              </w:rPr>
              <w:t>项目</w:t>
            </w:r>
            <w:r>
              <w:rPr>
                <w:rFonts w:hint="eastAsia"/>
                <w:lang w:val="en-US" w:eastAsia="zh-CN"/>
              </w:rPr>
              <w:t>管理机构</w:t>
            </w:r>
          </w:p>
        </w:tc>
        <w:tc>
          <w:tcPr>
            <w:tcW w:w="486" w:type="dxa"/>
            <w:tcBorders>
              <w:top w:val="single" w:color="auto" w:sz="4" w:space="0"/>
              <w:left w:val="single" w:color="auto" w:sz="4" w:space="0"/>
              <w:bottom w:val="single" w:color="auto" w:sz="4" w:space="0"/>
              <w:right w:val="single" w:color="auto" w:sz="4" w:space="0"/>
            </w:tcBorders>
            <w:vAlign w:val="center"/>
          </w:tcPr>
          <w:p>
            <w:pPr>
              <w:rPr>
                <w:rFonts w:hint="eastAsia"/>
                <w:lang w:eastAsia="zh-CN"/>
              </w:rPr>
            </w:pPr>
            <w:r>
              <w:rPr>
                <w:rFonts w:hint="eastAsia"/>
                <w:lang w:val="en-US" w:eastAsia="zh-CN"/>
              </w:rPr>
              <w:t>4</w:t>
            </w:r>
          </w:p>
        </w:tc>
        <w:tc>
          <w:tcPr>
            <w:tcW w:w="5103" w:type="dxa"/>
            <w:tcBorders>
              <w:top w:val="single" w:color="auto" w:sz="4" w:space="0"/>
              <w:left w:val="single" w:color="auto" w:sz="4" w:space="0"/>
              <w:bottom w:val="single" w:color="auto" w:sz="4" w:space="0"/>
              <w:right w:val="single" w:color="auto" w:sz="4" w:space="0"/>
            </w:tcBorders>
            <w:vAlign w:val="center"/>
          </w:tcPr>
          <w:p>
            <w:pPr>
              <w:rPr>
                <w:rFonts w:hint="eastAsia"/>
                <w:lang w:val="en-US" w:eastAsia="zh-CN"/>
              </w:rPr>
            </w:pPr>
            <w:r>
              <w:rPr>
                <w:rFonts w:hint="eastAsia"/>
                <w:lang w:val="en-US" w:eastAsia="zh-CN"/>
              </w:rPr>
              <w:t>1、项目组织机构专业人员配置齐全、合理，最多得 1 分；</w:t>
            </w:r>
          </w:p>
          <w:p>
            <w:pPr>
              <w:rPr>
                <w:rFonts w:hint="eastAsia"/>
                <w:lang w:val="en-US" w:eastAsia="zh-CN"/>
              </w:rPr>
            </w:pPr>
            <w:r>
              <w:rPr>
                <w:rFonts w:hint="eastAsia"/>
                <w:lang w:val="en-US" w:eastAsia="zh-CN"/>
              </w:rPr>
              <w:t>2、拟派项目负责人具有有效一级建造师（机电工程）及以上资格，得 1 分；</w:t>
            </w:r>
          </w:p>
          <w:p>
            <w:pPr>
              <w:rPr>
                <w:rFonts w:hint="eastAsia"/>
                <w:lang w:val="en-US" w:eastAsia="zh-CN"/>
              </w:rPr>
            </w:pPr>
            <w:r>
              <w:rPr>
                <w:rFonts w:hint="eastAsia"/>
                <w:lang w:val="en-US" w:eastAsia="zh-CN"/>
              </w:rPr>
              <w:t>3、拟派技术负责人具有正高级工程师及以上技术职称得 2 分，具有高级工程师技术职称得 1 分。</w:t>
            </w:r>
          </w:p>
          <w:p>
            <w:r>
              <w:rPr>
                <w:rFonts w:hint="eastAsia"/>
                <w:lang w:val="en-US" w:eastAsia="zh-CN"/>
              </w:rPr>
              <w:t>注：1、以上人员不得兼任。2、提供上述人员的证书复印件及人员在本项目投标截止日之前六个月以内任意一个月份的在本单位任职的《投保单》或《社会保险参保人员证明》并加盖投标人公章，否则不得分。</w:t>
            </w:r>
          </w:p>
        </w:tc>
        <w:tc>
          <w:tcPr>
            <w:tcW w:w="1973" w:type="dxa"/>
            <w:tcBorders>
              <w:top w:val="single" w:color="auto" w:sz="4" w:space="0"/>
              <w:left w:val="single" w:color="auto" w:sz="4" w:space="0"/>
              <w:bottom w:val="single" w:color="auto" w:sz="4" w:space="0"/>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489" w:type="dxa"/>
            <w:tcBorders>
              <w:top w:val="single" w:color="auto" w:sz="4" w:space="0"/>
              <w:left w:val="single" w:color="auto" w:sz="4" w:space="0"/>
              <w:bottom w:val="single" w:color="auto" w:sz="4" w:space="0"/>
              <w:right w:val="single" w:color="auto" w:sz="4" w:space="0"/>
            </w:tcBorders>
            <w:vAlign w:val="center"/>
          </w:tcPr>
          <w:p>
            <w:r>
              <w:rPr>
                <w:rFonts w:hint="eastAsia"/>
              </w:rPr>
              <w:t>6</w:t>
            </w:r>
          </w:p>
        </w:tc>
        <w:tc>
          <w:tcPr>
            <w:tcW w:w="1220" w:type="dxa"/>
            <w:tcBorders>
              <w:top w:val="single" w:color="auto" w:sz="4" w:space="0"/>
              <w:left w:val="single" w:color="auto" w:sz="4" w:space="0"/>
              <w:bottom w:val="single" w:color="auto" w:sz="4" w:space="0"/>
              <w:right w:val="single" w:color="auto" w:sz="4" w:space="0"/>
            </w:tcBorders>
            <w:vAlign w:val="center"/>
          </w:tcPr>
          <w:p>
            <w:r>
              <w:rPr>
                <w:rFonts w:hint="eastAsia"/>
                <w:lang w:eastAsia="zh-CN"/>
              </w:rPr>
              <w:t>技术指标和配置</w:t>
            </w:r>
          </w:p>
        </w:tc>
        <w:tc>
          <w:tcPr>
            <w:tcW w:w="486" w:type="dxa"/>
            <w:tcBorders>
              <w:top w:val="single" w:color="auto" w:sz="4" w:space="0"/>
              <w:left w:val="single" w:color="auto" w:sz="4" w:space="0"/>
              <w:bottom w:val="single" w:color="auto" w:sz="4" w:space="0"/>
              <w:right w:val="single" w:color="auto" w:sz="4" w:space="0"/>
            </w:tcBorders>
            <w:vAlign w:val="center"/>
          </w:tcPr>
          <w:p>
            <w:pPr>
              <w:rPr>
                <w:rFonts w:hint="default"/>
                <w:lang w:val="en-US" w:eastAsia="zh-CN"/>
              </w:rPr>
            </w:pPr>
            <w:r>
              <w:rPr>
                <w:rFonts w:hint="eastAsia"/>
                <w:lang w:val="en-US" w:eastAsia="zh-CN"/>
              </w:rPr>
              <w:t>27</w:t>
            </w:r>
          </w:p>
        </w:tc>
        <w:tc>
          <w:tcPr>
            <w:tcW w:w="5103" w:type="dxa"/>
            <w:tcBorders>
              <w:top w:val="single" w:color="auto" w:sz="4" w:space="0"/>
              <w:left w:val="single" w:color="auto" w:sz="4" w:space="0"/>
              <w:bottom w:val="single" w:color="auto" w:sz="4" w:space="0"/>
              <w:right w:val="single" w:color="auto" w:sz="4" w:space="0"/>
            </w:tcBorders>
            <w:vAlign w:val="center"/>
          </w:tcPr>
          <w:p>
            <w:pPr>
              <w:rPr>
                <w:rFonts w:hint="eastAsia"/>
                <w:lang w:val="en-US" w:eastAsia="zh-CN"/>
              </w:rPr>
            </w:pPr>
            <w:r>
              <w:rPr>
                <w:rFonts w:hint="eastAsia"/>
                <w:lang w:val="en-US" w:eastAsia="zh-CN"/>
              </w:rPr>
              <w:t xml:space="preserve">1、采购须知中的“改造清单”“▲”项技术指标共11条，全部满足招标文件技术参数要求没有负偏离得22分，未全部满足时其得分计算公式为：（满足条数/总条数）×22分； </w:t>
            </w:r>
          </w:p>
          <w:p>
            <w:pPr>
              <w:rPr>
                <w:rFonts w:hint="eastAsia"/>
                <w:lang w:val="en-US" w:eastAsia="zh-CN"/>
              </w:rPr>
            </w:pPr>
            <w:r>
              <w:rPr>
                <w:rFonts w:hint="eastAsia"/>
                <w:lang w:val="en-US" w:eastAsia="zh-CN"/>
              </w:rPr>
              <w:t>2、采购须知中的“改造清单”“◆”项技术指标共5条，全部满足招标文件技术参数要求没有负偏离得5分，未全部满足时其得分计算公式为：（满足条数/总条数）×5分。</w:t>
            </w:r>
          </w:p>
          <w:p>
            <w:r>
              <w:t xml:space="preserve"> 注：“▲”号需在评标现场</w:t>
            </w:r>
            <w:r>
              <w:rPr>
                <w:rFonts w:hint="eastAsia"/>
                <w:lang w:val="en-US" w:eastAsia="zh-CN"/>
              </w:rPr>
              <w:t>上位机软件</w:t>
            </w:r>
            <w:r>
              <w:t>模拟演示，功能不满足或未提供评标现场实物模拟演示视为负偏离，该项不得分；“◆”号需提供产品检验报告或官方彩页或其他技术指标证明文件，并加盖投标人鲜章有效；无证明资料说明的视为负偏离，该项不得分。</w:t>
            </w:r>
          </w:p>
        </w:tc>
        <w:tc>
          <w:tcPr>
            <w:tcW w:w="1973" w:type="dxa"/>
            <w:tcBorders>
              <w:top w:val="single" w:color="auto" w:sz="4" w:space="0"/>
              <w:left w:val="single" w:color="auto" w:sz="4" w:space="0"/>
              <w:bottom w:val="single" w:color="auto" w:sz="4" w:space="0"/>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489" w:type="dxa"/>
            <w:tcBorders>
              <w:top w:val="single" w:color="auto" w:sz="4" w:space="0"/>
              <w:left w:val="single" w:color="auto" w:sz="4" w:space="0"/>
              <w:bottom w:val="single" w:color="auto" w:sz="4" w:space="0"/>
              <w:right w:val="single" w:color="auto" w:sz="4" w:space="0"/>
            </w:tcBorders>
            <w:vAlign w:val="center"/>
          </w:tcPr>
          <w:p>
            <w:pPr>
              <w:rPr>
                <w:rFonts w:hint="eastAsia"/>
                <w:lang w:val="en-US" w:eastAsia="zh-CN"/>
              </w:rPr>
            </w:pPr>
            <w:r>
              <w:rPr>
                <w:rFonts w:hint="eastAsia"/>
                <w:lang w:val="en-US" w:eastAsia="zh-CN"/>
              </w:rPr>
              <w:t>7</w:t>
            </w:r>
          </w:p>
        </w:tc>
        <w:tc>
          <w:tcPr>
            <w:tcW w:w="1220" w:type="dxa"/>
            <w:tcBorders>
              <w:top w:val="single" w:color="auto" w:sz="4" w:space="0"/>
              <w:left w:val="single" w:color="auto" w:sz="4" w:space="0"/>
              <w:bottom w:val="single" w:color="auto" w:sz="4" w:space="0"/>
              <w:right w:val="single" w:color="auto" w:sz="4" w:space="0"/>
            </w:tcBorders>
            <w:vAlign w:val="center"/>
          </w:tcPr>
          <w:p>
            <w:r>
              <w:rPr>
                <w:rFonts w:hint="eastAsia"/>
                <w:lang w:val="en-US" w:eastAsia="zh-CN"/>
              </w:rPr>
              <w:t>施工组织方案</w:t>
            </w:r>
          </w:p>
        </w:tc>
        <w:tc>
          <w:tcPr>
            <w:tcW w:w="486" w:type="dxa"/>
            <w:tcBorders>
              <w:top w:val="single" w:color="auto" w:sz="4" w:space="0"/>
              <w:left w:val="single" w:color="auto" w:sz="4" w:space="0"/>
              <w:bottom w:val="single" w:color="auto" w:sz="4" w:space="0"/>
              <w:right w:val="single" w:color="auto" w:sz="4" w:space="0"/>
            </w:tcBorders>
            <w:vAlign w:val="center"/>
          </w:tcPr>
          <w:p>
            <w:pPr>
              <w:rPr>
                <w:rFonts w:hint="default"/>
                <w:lang w:val="en-US" w:eastAsia="zh-CN"/>
              </w:rPr>
            </w:pPr>
            <w:r>
              <w:rPr>
                <w:rFonts w:hint="eastAsia"/>
                <w:lang w:val="en-US" w:eastAsia="zh-CN"/>
              </w:rPr>
              <w:t>24</w:t>
            </w:r>
          </w:p>
        </w:tc>
        <w:tc>
          <w:tcPr>
            <w:tcW w:w="5103" w:type="dxa"/>
            <w:tcBorders>
              <w:top w:val="single" w:color="auto" w:sz="4" w:space="0"/>
              <w:left w:val="single" w:color="auto" w:sz="4" w:space="0"/>
              <w:bottom w:val="single" w:color="auto" w:sz="4" w:space="0"/>
              <w:right w:val="single" w:color="auto" w:sz="4" w:space="0"/>
            </w:tcBorders>
            <w:vAlign w:val="center"/>
          </w:tcPr>
          <w:p>
            <w:pPr>
              <w:rPr>
                <w:rFonts w:hint="eastAsia"/>
                <w:lang w:val="en-US" w:eastAsia="zh-CN"/>
              </w:rPr>
            </w:pPr>
            <w:r>
              <w:rPr>
                <w:rFonts w:hint="eastAsia"/>
                <w:lang w:val="en-US" w:eastAsia="zh-CN"/>
              </w:rPr>
              <w:t>针对本项目的具体实施方案评价，包括a、工作任务；b、计划的时间；c、投入的人力资源；d、质</w:t>
            </w:r>
            <w:r>
              <w:rPr>
                <w:rFonts w:hint="eastAsia"/>
                <w:lang w:val="zh-CN" w:eastAsia="zh-CN"/>
              </w:rPr>
              <w:t>量管理体系与措施；</w:t>
            </w:r>
            <w:r>
              <w:rPr>
                <w:rFonts w:hint="eastAsia"/>
                <w:lang w:val="en-US" w:eastAsia="zh-CN"/>
              </w:rPr>
              <w:t>e、</w:t>
            </w:r>
            <w:r>
              <w:rPr>
                <w:rFonts w:hint="eastAsia"/>
                <w:lang w:val="zh-CN" w:eastAsia="zh-CN"/>
              </w:rPr>
              <w:t>环境保护管理体系与措；</w:t>
            </w:r>
            <w:r>
              <w:rPr>
                <w:rFonts w:hint="eastAsia"/>
                <w:lang w:val="en-US" w:eastAsia="zh-CN"/>
              </w:rPr>
              <w:t>f、</w:t>
            </w:r>
            <w:r>
              <w:rPr>
                <w:rFonts w:hint="eastAsia"/>
                <w:lang w:val="zh-CN" w:eastAsia="zh-CN"/>
              </w:rPr>
              <w:t>安全管理体系与措施；</w:t>
            </w:r>
            <w:r>
              <w:rPr>
                <w:rFonts w:hint="eastAsia"/>
                <w:lang w:val="en-US" w:eastAsia="zh-CN"/>
              </w:rPr>
              <w:t>g、售后服务人员配置及售后响应时间；h、售后应急处理制度及措施；i、产品完成后的保养及维修方案；j、售后培训；k、人员培训包括对使用人员的培训计划、方式、目标及使用等；l、突发事件预案及安全事故处理预案。</w:t>
            </w:r>
          </w:p>
          <w:p>
            <w:pPr>
              <w:rPr>
                <w:rFonts w:hint="eastAsia"/>
                <w:lang w:val="en-US" w:eastAsia="zh-CN"/>
              </w:rPr>
            </w:pPr>
            <w:r>
              <w:rPr>
                <w:rFonts w:hint="eastAsia"/>
                <w:lang w:val="en-US" w:eastAsia="zh-CN"/>
              </w:rPr>
              <w:t>注：上述 12项要素内容完整齐全，响应明确、准确，无明显错误或漏项，能完全满足本项目采购要求的得24分；</w:t>
            </w:r>
          </w:p>
          <w:p>
            <w:r>
              <w:rPr>
                <w:rFonts w:hint="eastAsia"/>
                <w:lang w:val="en-US" w:eastAsia="zh-CN"/>
              </w:rPr>
              <w:t>上述 12项要素内容虽然齐全，但是其中有明显字句错误（或专业规范技术类评分因素术语错误）或明显有与本项目无关内容（包括明显不符合本项目行业技术规范的内容或不符合本项目设计）的，每发现一处扣1分，扣完为止; 以上内容中有缺项的一项扣2分，扣完为止。</w:t>
            </w:r>
          </w:p>
        </w:tc>
        <w:tc>
          <w:tcPr>
            <w:tcW w:w="1973" w:type="dxa"/>
            <w:tcBorders>
              <w:top w:val="single" w:color="auto" w:sz="4" w:space="0"/>
              <w:left w:val="single" w:color="auto" w:sz="4" w:space="0"/>
              <w:bottom w:val="single" w:color="auto" w:sz="4" w:space="0"/>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489" w:type="dxa"/>
            <w:tcBorders>
              <w:top w:val="single" w:color="auto" w:sz="4" w:space="0"/>
              <w:left w:val="single" w:color="auto" w:sz="4" w:space="0"/>
              <w:bottom w:val="single" w:color="auto" w:sz="4" w:space="0"/>
              <w:right w:val="single" w:color="auto" w:sz="4" w:space="0"/>
            </w:tcBorders>
            <w:vAlign w:val="center"/>
          </w:tcPr>
          <w:p>
            <w:pPr>
              <w:rPr>
                <w:rFonts w:hint="eastAsia"/>
                <w:lang w:val="en-US" w:eastAsia="zh-CN"/>
              </w:rPr>
            </w:pPr>
            <w:r>
              <w:rPr>
                <w:rFonts w:hint="eastAsia"/>
                <w:lang w:val="en-US" w:eastAsia="zh-CN"/>
              </w:rPr>
              <w:t>8</w:t>
            </w:r>
          </w:p>
        </w:tc>
        <w:tc>
          <w:tcPr>
            <w:tcW w:w="1220" w:type="dxa"/>
            <w:tcBorders>
              <w:top w:val="single" w:color="auto" w:sz="4" w:space="0"/>
              <w:left w:val="single" w:color="auto" w:sz="4" w:space="0"/>
              <w:bottom w:val="single" w:color="auto" w:sz="4" w:space="0"/>
              <w:right w:val="single" w:color="auto" w:sz="4" w:space="0"/>
            </w:tcBorders>
            <w:vAlign w:val="center"/>
          </w:tcPr>
          <w:p>
            <w:pPr>
              <w:rPr>
                <w:rFonts w:hint="eastAsia"/>
              </w:rPr>
            </w:pPr>
            <w:r>
              <w:rPr>
                <w:rFonts w:hint="eastAsia"/>
                <w:lang w:eastAsia="zh-CN"/>
              </w:rPr>
              <w:t>售后服务</w:t>
            </w:r>
          </w:p>
        </w:tc>
        <w:tc>
          <w:tcPr>
            <w:tcW w:w="486" w:type="dxa"/>
            <w:tcBorders>
              <w:top w:val="single" w:color="auto" w:sz="4" w:space="0"/>
              <w:left w:val="single" w:color="auto" w:sz="4" w:space="0"/>
              <w:bottom w:val="single" w:color="auto" w:sz="4" w:space="0"/>
              <w:right w:val="single" w:color="auto" w:sz="4" w:space="0"/>
            </w:tcBorders>
            <w:vAlign w:val="center"/>
          </w:tcPr>
          <w:p>
            <w:pPr>
              <w:rPr>
                <w:rFonts w:hint="eastAsia"/>
                <w:lang w:val="en-US" w:eastAsia="zh-CN"/>
              </w:rPr>
            </w:pPr>
            <w:r>
              <w:rPr>
                <w:rFonts w:hint="eastAsia"/>
                <w:lang w:val="en-US" w:eastAsia="zh-CN"/>
              </w:rPr>
              <w:t>6</w:t>
            </w:r>
          </w:p>
        </w:tc>
        <w:tc>
          <w:tcPr>
            <w:tcW w:w="5103" w:type="dxa"/>
            <w:tcBorders>
              <w:top w:val="single" w:color="auto" w:sz="4" w:space="0"/>
              <w:left w:val="single" w:color="auto" w:sz="4" w:space="0"/>
              <w:bottom w:val="single" w:color="auto" w:sz="4" w:space="0"/>
              <w:right w:val="single" w:color="auto" w:sz="4" w:space="0"/>
            </w:tcBorders>
            <w:vAlign w:val="center"/>
          </w:tcPr>
          <w:p>
            <w:pPr>
              <w:rPr>
                <w:rFonts w:hint="eastAsia"/>
                <w:lang w:eastAsia="zh-CN"/>
              </w:rPr>
            </w:pPr>
            <w:r>
              <w:rPr>
                <w:rFonts w:hint="eastAsia"/>
                <w:lang w:val="en-US" w:eastAsia="zh-CN"/>
              </w:rPr>
              <w:t>1、</w:t>
            </w:r>
            <w:r>
              <w:rPr>
                <w:rFonts w:hint="eastAsia"/>
                <w:lang w:eastAsia="zh-CN"/>
              </w:rPr>
              <w:t>在满足</w:t>
            </w:r>
            <w:r>
              <w:rPr>
                <w:rFonts w:hint="eastAsia"/>
                <w:lang w:val="en-US" w:eastAsia="zh-CN"/>
              </w:rPr>
              <w:t>比选</w:t>
            </w:r>
            <w:r>
              <w:rPr>
                <w:rFonts w:hint="eastAsia"/>
                <w:lang w:eastAsia="zh-CN"/>
              </w:rPr>
              <w:t>文件对售后服务承诺的要求下对维修时间、人员培训、备品备件、质保期后维保费用及其它服务作具体书面承诺，</w:t>
            </w:r>
            <w:r>
              <w:rPr>
                <w:rFonts w:hint="eastAsia"/>
                <w:lang w:val="en-US" w:eastAsia="zh-CN"/>
              </w:rPr>
              <w:t>得1</w:t>
            </w:r>
            <w:r>
              <w:rPr>
                <w:rFonts w:hint="eastAsia"/>
                <w:lang w:eastAsia="zh-CN"/>
              </w:rPr>
              <w:t>分，</w:t>
            </w:r>
            <w:r>
              <w:rPr>
                <w:rFonts w:hint="eastAsia"/>
                <w:lang w:val="en-US" w:eastAsia="zh-CN"/>
              </w:rPr>
              <w:t>不满足不得分</w:t>
            </w:r>
            <w:r>
              <w:rPr>
                <w:rFonts w:hint="eastAsia"/>
                <w:lang w:eastAsia="zh-CN"/>
              </w:rPr>
              <w:t>。</w:t>
            </w:r>
          </w:p>
          <w:p>
            <w:pPr>
              <w:rPr>
                <w:rFonts w:hint="eastAsia"/>
                <w:lang w:eastAsia="zh-CN"/>
              </w:rPr>
            </w:pPr>
            <w:r>
              <w:rPr>
                <w:rFonts w:hint="eastAsia"/>
                <w:lang w:val="en-US" w:eastAsia="zh-CN"/>
              </w:rPr>
              <w:t>2、</w:t>
            </w:r>
            <w:r>
              <w:rPr>
                <w:rFonts w:hint="eastAsia"/>
                <w:lang w:eastAsia="zh-CN"/>
              </w:rPr>
              <w:t>具有有效（包含舞台</w:t>
            </w:r>
            <w:r>
              <w:rPr>
                <w:rFonts w:hint="eastAsia"/>
                <w:lang w:val="en-US" w:eastAsia="zh-CN"/>
              </w:rPr>
              <w:t>相关系统</w:t>
            </w:r>
            <w:r>
              <w:rPr>
                <w:rFonts w:hint="eastAsia"/>
                <w:lang w:eastAsia="zh-CN"/>
              </w:rPr>
              <w:t>内容）的售后服务认证证书（五星级）的，五星级得</w:t>
            </w:r>
            <w:r>
              <w:rPr>
                <w:rFonts w:hint="eastAsia"/>
                <w:lang w:val="en-US" w:eastAsia="zh-CN"/>
              </w:rPr>
              <w:t>5</w:t>
            </w:r>
            <w:r>
              <w:rPr>
                <w:rFonts w:hint="eastAsia"/>
                <w:lang w:eastAsia="zh-CN"/>
              </w:rPr>
              <w:t>分，四星级得</w:t>
            </w:r>
            <w:r>
              <w:rPr>
                <w:rFonts w:hint="eastAsia"/>
                <w:lang w:val="en-US" w:eastAsia="zh-CN"/>
              </w:rPr>
              <w:t>3</w:t>
            </w:r>
            <w:r>
              <w:rPr>
                <w:rFonts w:hint="eastAsia"/>
                <w:lang w:eastAsia="zh-CN"/>
              </w:rPr>
              <w:t>分，三星级得</w:t>
            </w:r>
            <w:r>
              <w:rPr>
                <w:rFonts w:hint="eastAsia"/>
                <w:lang w:val="en-US" w:eastAsia="zh-CN"/>
              </w:rPr>
              <w:t>1</w:t>
            </w:r>
            <w:r>
              <w:rPr>
                <w:rFonts w:hint="eastAsia"/>
                <w:lang w:eastAsia="zh-CN"/>
              </w:rPr>
              <w:t>分，</w:t>
            </w:r>
            <w:r>
              <w:rPr>
                <w:rFonts w:hint="eastAsia"/>
                <w:lang w:val="en-US" w:eastAsia="zh-CN"/>
              </w:rPr>
              <w:t>其余不得</w:t>
            </w:r>
            <w:r>
              <w:rPr>
                <w:rFonts w:hint="eastAsia"/>
                <w:lang w:eastAsia="zh-CN"/>
              </w:rPr>
              <w:t>分。</w:t>
            </w:r>
          </w:p>
          <w:p>
            <w:r>
              <w:rPr>
                <w:rFonts w:hint="eastAsia"/>
                <w:lang w:val="en-US" w:eastAsia="zh-CN"/>
              </w:rPr>
              <w:t>注:需提供证书扫描件。</w:t>
            </w:r>
          </w:p>
        </w:tc>
        <w:tc>
          <w:tcPr>
            <w:tcW w:w="1973" w:type="dxa"/>
            <w:tcBorders>
              <w:top w:val="single" w:color="auto" w:sz="4" w:space="0"/>
              <w:left w:val="single" w:color="auto" w:sz="4" w:space="0"/>
              <w:bottom w:val="single" w:color="auto" w:sz="4" w:space="0"/>
              <w:right w:val="single" w:color="auto" w:sz="4" w:space="0"/>
            </w:tcBorders>
            <w:vAlign w:val="center"/>
          </w:tcPr>
          <w:p/>
        </w:tc>
      </w:tr>
    </w:tbl>
    <w:p>
      <w:pPr>
        <w:rPr>
          <w:rFonts w:hint="default"/>
          <w:lang w:val="en-US" w:eastAsia="zh-CN"/>
        </w:rPr>
      </w:pPr>
      <w:r>
        <w:rPr>
          <w:rFonts w:hint="default"/>
          <w:lang w:val="en-US" w:eastAsia="zh-CN"/>
        </w:rPr>
        <w:br w:type="page"/>
      </w:r>
    </w:p>
    <w:p>
      <w:pPr>
        <w:pStyle w:val="10"/>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五、商务要求</w:t>
      </w:r>
    </w:p>
    <w:tbl>
      <w:tblPr>
        <w:tblStyle w:val="20"/>
        <w:tblW w:w="1002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890"/>
        <w:gridCol w:w="608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890"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6080"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1</w:t>
            </w:r>
          </w:p>
        </w:tc>
        <w:tc>
          <w:tcPr>
            <w:tcW w:w="2890"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工期要求</w:t>
            </w:r>
          </w:p>
        </w:tc>
        <w:tc>
          <w:tcPr>
            <w:tcW w:w="6080" w:type="dxa"/>
            <w:noWrap w:val="0"/>
            <w:vAlign w:val="top"/>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p>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合同签订后</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45天内</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交付使用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2</w:t>
            </w:r>
          </w:p>
        </w:tc>
        <w:tc>
          <w:tcPr>
            <w:tcW w:w="289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实施</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地点</w:t>
            </w:r>
          </w:p>
        </w:tc>
        <w:tc>
          <w:tcPr>
            <w:tcW w:w="6080" w:type="dxa"/>
            <w:noWrap w:val="0"/>
            <w:vAlign w:val="top"/>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江油大剧院三楼剧场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3</w:t>
            </w:r>
          </w:p>
        </w:tc>
        <w:tc>
          <w:tcPr>
            <w:tcW w:w="289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验收要求</w:t>
            </w:r>
          </w:p>
        </w:tc>
        <w:tc>
          <w:tcPr>
            <w:tcW w:w="6080" w:type="dxa"/>
            <w:noWrap w:val="0"/>
            <w:vAlign w:val="top"/>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按照</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相关</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要求</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进行</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4</w:t>
            </w:r>
          </w:p>
        </w:tc>
        <w:tc>
          <w:tcPr>
            <w:tcW w:w="2890"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履约保证金</w:t>
            </w:r>
          </w:p>
        </w:tc>
        <w:tc>
          <w:tcPr>
            <w:tcW w:w="6080" w:type="dxa"/>
            <w:noWrap w:val="0"/>
            <w:vAlign w:val="top"/>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交投标人在中标后</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5</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个工作日内需缴纳成交合同金额5%的履约保证金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5</w:t>
            </w:r>
          </w:p>
        </w:tc>
        <w:tc>
          <w:tcPr>
            <w:tcW w:w="2890"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款项支付方式、进度</w:t>
            </w:r>
          </w:p>
        </w:tc>
        <w:tc>
          <w:tcPr>
            <w:tcW w:w="6080" w:type="dxa"/>
            <w:noWrap w:val="0"/>
            <w:vAlign w:val="top"/>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详见附件8：合同主要条款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6</w:t>
            </w:r>
          </w:p>
        </w:tc>
        <w:tc>
          <w:tcPr>
            <w:tcW w:w="289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其他</w:t>
            </w:r>
          </w:p>
        </w:tc>
        <w:tc>
          <w:tcPr>
            <w:tcW w:w="608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无</w:t>
            </w:r>
          </w:p>
        </w:tc>
      </w:tr>
    </w:tbl>
    <w:p>
      <w:pPr>
        <w:rPr>
          <w:rFonts w:hint="eastAsia"/>
          <w:lang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pPr>
        <w:pStyle w:val="6"/>
        <w:rPr>
          <w:rFonts w:hint="eastAsia" w:ascii="仿宋" w:hAnsi="仿宋" w:eastAsia="仿宋" w:cs="仿宋"/>
          <w:b w:val="0"/>
          <w:bCs w:val="0"/>
          <w:color w:val="auto"/>
          <w:sz w:val="32"/>
          <w:szCs w:val="32"/>
          <w:u w:val="none" w:color="auto"/>
          <w:lang w:val="en-US" w:eastAsia="zh-CN"/>
        </w:rPr>
      </w:pPr>
    </w:p>
    <w:p>
      <w:pPr>
        <w:pStyle w:val="15"/>
        <w:rPr>
          <w:rFonts w:hint="eastAsia" w:ascii="仿宋" w:hAnsi="仿宋" w:eastAsia="仿宋" w:cs="仿宋"/>
          <w:b w:val="0"/>
          <w:bCs w:val="0"/>
          <w:color w:val="auto"/>
          <w:sz w:val="32"/>
          <w:szCs w:val="32"/>
          <w:u w:val="none" w:color="auto"/>
          <w:lang w:val="en-US" w:eastAsia="zh-CN"/>
        </w:rPr>
      </w:pPr>
    </w:p>
    <w:p>
      <w:pPr>
        <w:rPr>
          <w:rFonts w:hint="eastAsia"/>
          <w:lang w:val="en-US" w:eastAsia="zh-CN"/>
        </w:rPr>
      </w:pPr>
      <w:r>
        <w:rPr>
          <w:rFonts w:hint="eastAsia" w:ascii="仿宋" w:hAnsi="仿宋" w:eastAsia="仿宋" w:cs="仿宋"/>
          <w:b w:val="0"/>
          <w:bCs w:val="0"/>
          <w:color w:val="auto"/>
          <w:sz w:val="32"/>
          <w:szCs w:val="32"/>
          <w:u w:val="none" w:color="auto"/>
          <w:lang w:val="en-US" w:eastAsia="zh-CN"/>
        </w:rPr>
        <w:br w:type="page"/>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江油大剧院三楼剧场舞台机械改造项目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default"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江油市李白故居文化旅游开发有限公司：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我方全面研究了“江油大剧院三楼剧场舞台机械改造项目”招标文件，决定参加贵单位组织的本次比选活动，并自觉遵守采购相关规定，遵守采购规则，维护正常的采购秩序。</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我方自愿按照比选文件规定的各项要求向采购人提供所需物资及服务，提供的物资及服务等所有权及知识产权等权利无瑕疵。</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4、我方对提供资料的真实性负责。如经查实我公司提供的资料存在虚假，我方愿意接受以提供虚假材料谋取中标追究法律责任。</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投标人名称： (盖章)</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法定代表人或授权代表（签字）：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6"/>
        <w:shd w:val="clear" w:color="auto" w:fill="auto"/>
        <w:rPr>
          <w:rFonts w:hint="eastAsia" w:ascii="仿宋" w:hAnsi="仿宋" w:eastAsia="仿宋" w:cs="仿宋"/>
          <w:sz w:val="32"/>
          <w:szCs w:val="32"/>
          <w:u w:val="none"/>
          <w:lang w:val="en-US" w:eastAsia="zh-CN"/>
        </w:rPr>
        <w:sectPr>
          <w:pgSz w:w="11906" w:h="16838"/>
          <w:pgMar w:top="1440" w:right="1134" w:bottom="1440" w:left="1134" w:header="851" w:footer="992" w:gutter="0"/>
          <w:cols w:space="0" w:num="1"/>
          <w:rtlGutter w:val="0"/>
          <w:docGrid w:type="lines" w:linePitch="33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附件3：报价单</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采购项目名称：</w:t>
      </w:r>
      <w:r>
        <w:rPr>
          <w:rFonts w:hint="eastAsia" w:ascii="仿宋" w:hAnsi="仿宋" w:eastAsia="仿宋" w:cs="仿宋"/>
          <w:sz w:val="32"/>
          <w:szCs w:val="32"/>
          <w:u w:val="single"/>
          <w:lang w:val="en-US" w:eastAsia="zh-CN"/>
        </w:rPr>
        <w:t>江油大剧院三楼剧场舞台机械改造项目</w:t>
      </w:r>
      <w:r>
        <w:rPr>
          <w:rFonts w:hint="eastAsia" w:ascii="仿宋" w:hAnsi="仿宋" w:eastAsia="仿宋" w:cs="仿宋"/>
          <w:sz w:val="32"/>
          <w:szCs w:val="32"/>
          <w:lang w:val="en-US" w:eastAsia="zh-CN"/>
        </w:rPr>
        <w:t xml:space="preserve">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tbl>
      <w:tblPr>
        <w:tblStyle w:val="20"/>
        <w:tblW w:w="996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5"/>
        <w:gridCol w:w="5596"/>
        <w:gridCol w:w="1850"/>
        <w:gridCol w:w="1033"/>
        <w:gridCol w:w="70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jc w:val="center"/>
        </w:trPr>
        <w:tc>
          <w:tcPr>
            <w:tcW w:w="78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序号</w:t>
            </w:r>
          </w:p>
        </w:tc>
        <w:tc>
          <w:tcPr>
            <w:tcW w:w="559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采购内容</w:t>
            </w:r>
          </w:p>
        </w:tc>
        <w:tc>
          <w:tcPr>
            <w:tcW w:w="185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w:t>
            </w:r>
          </w:p>
        </w:tc>
        <w:tc>
          <w:tcPr>
            <w:tcW w:w="1033"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w:t>
            </w:r>
          </w:p>
        </w:tc>
        <w:tc>
          <w:tcPr>
            <w:tcW w:w="70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jc w:val="center"/>
        </w:trPr>
        <w:tc>
          <w:tcPr>
            <w:tcW w:w="785"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320" w:firstLineChars="1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p>
        </w:tc>
        <w:tc>
          <w:tcPr>
            <w:tcW w:w="559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江油大剧院三楼剧场舞台机械改造项目</w:t>
            </w:r>
          </w:p>
        </w:tc>
        <w:tc>
          <w:tcPr>
            <w:tcW w:w="185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tc>
        <w:tc>
          <w:tcPr>
            <w:tcW w:w="1033"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万元</w:t>
            </w:r>
          </w:p>
        </w:tc>
        <w:tc>
          <w:tcPr>
            <w:tcW w:w="702"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default" w:ascii="仿宋" w:hAnsi="仿宋" w:eastAsia="仿宋" w:cs="仿宋"/>
                <w:sz w:val="32"/>
                <w:szCs w:val="32"/>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jc w:val="center"/>
        </w:trPr>
        <w:tc>
          <w:tcPr>
            <w:tcW w:w="9966" w:type="dxa"/>
            <w:gridSpan w:val="5"/>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投标人报价:</w:t>
            </w:r>
            <w:r>
              <w:rPr>
                <w:rFonts w:hint="eastAsia" w:ascii="仿宋" w:hAnsi="仿宋" w:eastAsia="仿宋" w:cs="仿宋"/>
                <w:sz w:val="32"/>
                <w:szCs w:val="32"/>
                <w:u w:val="single"/>
                <w:lang w:val="en-US" w:eastAsia="zh-CN"/>
              </w:rPr>
              <w:t xml:space="preserve">_________  </w:t>
            </w:r>
            <w:r>
              <w:rPr>
                <w:rFonts w:hint="eastAsia" w:ascii="仿宋" w:hAnsi="仿宋" w:eastAsia="仿宋" w:cs="仿宋"/>
                <w:sz w:val="32"/>
                <w:szCs w:val="32"/>
                <w:lang w:val="en-US" w:eastAsia="zh-CN"/>
              </w:rPr>
              <w:t xml:space="preserve">  (大写:</w:t>
            </w:r>
            <w:r>
              <w:rPr>
                <w:rFonts w:hint="eastAsia" w:ascii="仿宋" w:hAnsi="仿宋" w:eastAsia="仿宋" w:cs="仿宋"/>
                <w:sz w:val="32"/>
                <w:szCs w:val="32"/>
                <w:u w:val="single"/>
                <w:lang w:val="en-US" w:eastAsia="zh-CN"/>
              </w:rPr>
              <w:t xml:space="preserve">_________ </w:t>
            </w:r>
            <w:r>
              <w:rPr>
                <w:rFonts w:hint="eastAsia" w:ascii="仿宋" w:hAnsi="仿宋" w:eastAsia="仿宋" w:cs="仿宋"/>
                <w:sz w:val="32"/>
                <w:szCs w:val="32"/>
                <w:lang w:val="en-US" w:eastAsia="zh-CN"/>
              </w:rPr>
              <w:t>)</w:t>
            </w:r>
          </w:p>
        </w:tc>
      </w:tr>
    </w:tbl>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投标人名称（盖章）：</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法定代表人或授权代表（签字）：</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default"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     期 ：       年     月      日</w:t>
      </w: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pStyle w:val="6"/>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sectPr>
          <w:pgSz w:w="11906" w:h="16838"/>
          <w:pgMar w:top="1440" w:right="1134" w:bottom="1440" w:left="1134" w:header="851" w:footer="992" w:gutter="0"/>
          <w:cols w:space="0" w:num="1"/>
          <w:rtlGutter w:val="0"/>
          <w:docGrid w:type="lines" w:linePitch="332" w:charSpace="0"/>
        </w:sectPr>
      </w:pPr>
    </w:p>
    <w:p>
      <w:pPr>
        <w:pStyle w:val="6"/>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附件4：项目报价明细表</w:t>
      </w:r>
    </w:p>
    <w:tbl>
      <w:tblPr>
        <w:tblStyle w:val="11"/>
        <w:tblW w:w="1335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72"/>
        <w:gridCol w:w="1200"/>
        <w:gridCol w:w="6395"/>
        <w:gridCol w:w="591"/>
        <w:gridCol w:w="664"/>
        <w:gridCol w:w="1248"/>
        <w:gridCol w:w="1475"/>
        <w:gridCol w:w="13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9"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序号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设备名称</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参数要求</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数量</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单位</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品牌</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报价</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rPr>
            </w:pPr>
            <w:r>
              <w:rPr>
                <w:rFonts w:hint="eastAsia"/>
                <w:lang w:val="en-US" w:eastAsia="zh-CN"/>
              </w:rPr>
              <w:t>合计金额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9"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前檐幕吊杆</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1、尺寸：宽18m；</w:t>
            </w:r>
            <w:r>
              <w:rPr>
                <w:rFonts w:hint="eastAsia"/>
                <w:lang w:val="en-US" w:eastAsia="zh-CN"/>
              </w:rPr>
              <w:br w:type="textWrapping"/>
            </w:r>
            <w:r>
              <w:rPr>
                <w:rFonts w:hint="eastAsia"/>
                <w:lang w:val="en-US" w:eastAsia="zh-CN"/>
              </w:rPr>
              <w:t>2、吊点数：不少于5吊点；</w:t>
            </w:r>
            <w:r>
              <w:rPr>
                <w:rFonts w:hint="eastAsia"/>
                <w:lang w:val="en-US" w:eastAsia="zh-CN"/>
              </w:rPr>
              <w:br w:type="textWrapping"/>
            </w:r>
            <w:r>
              <w:rPr>
                <w:rFonts w:hint="eastAsia"/>
                <w:lang w:val="en-US" w:eastAsia="zh-CN"/>
              </w:rPr>
              <w:t>3、行程：约10m；</w:t>
            </w:r>
            <w:r>
              <w:rPr>
                <w:rFonts w:hint="eastAsia"/>
                <w:lang w:val="en-US" w:eastAsia="zh-CN"/>
              </w:rPr>
              <w:br w:type="textWrapping"/>
            </w:r>
            <w:r>
              <w:rPr>
                <w:rFonts w:hint="eastAsia"/>
                <w:lang w:val="en-US" w:eastAsia="zh-CN"/>
              </w:rPr>
              <w:t>4、速度：0-0.7m/s；</w:t>
            </w:r>
            <w:r>
              <w:rPr>
                <w:rFonts w:hint="eastAsia"/>
                <w:lang w:val="en-US" w:eastAsia="zh-CN"/>
              </w:rPr>
              <w:br w:type="textWrapping"/>
            </w:r>
            <w:r>
              <w:rPr>
                <w:rFonts w:hint="eastAsia"/>
                <w:lang w:val="en-US" w:eastAsia="zh-CN"/>
              </w:rPr>
              <w:t>5、载荷：6.0kN（活载荷）；</w:t>
            </w:r>
            <w:r>
              <w:rPr>
                <w:rFonts w:hint="eastAsia"/>
                <w:lang w:val="en-US" w:eastAsia="zh-CN"/>
              </w:rPr>
              <w:br w:type="textWrapping"/>
            </w:r>
            <w:r>
              <w:rPr>
                <w:rFonts w:hint="eastAsia"/>
                <w:lang w:val="en-US" w:eastAsia="zh-CN"/>
              </w:rPr>
              <w:t>6、定位精度：±3mm；</w:t>
            </w:r>
            <w:r>
              <w:rPr>
                <w:rFonts w:hint="eastAsia"/>
                <w:lang w:val="en-US" w:eastAsia="zh-CN"/>
              </w:rPr>
              <w:br w:type="textWrapping"/>
            </w:r>
            <w:r>
              <w:rPr>
                <w:rFonts w:hint="eastAsia"/>
                <w:lang w:val="en-US" w:eastAsia="zh-CN"/>
              </w:rPr>
              <w:t>7、驱动类型：电动钢丝绳卷扬；</w:t>
            </w:r>
            <w:r>
              <w:rPr>
                <w:rFonts w:hint="eastAsia"/>
                <w:lang w:val="en-US" w:eastAsia="zh-CN"/>
              </w:rPr>
              <w:br w:type="textWrapping"/>
            </w:r>
            <w:r>
              <w:rPr>
                <w:rFonts w:hint="eastAsia"/>
                <w:lang w:val="en-US" w:eastAsia="zh-CN"/>
              </w:rPr>
              <w:t>8、保护装置：包含行程限位检测组件、防松绳机构、载荷安全监测组件等；</w:t>
            </w:r>
            <w:r>
              <w:rPr>
                <w:rFonts w:hint="eastAsia"/>
                <w:lang w:val="en-US" w:eastAsia="zh-CN"/>
              </w:rPr>
              <w:br w:type="textWrapping"/>
            </w:r>
            <w:r>
              <w:rPr>
                <w:rFonts w:hint="eastAsia"/>
                <w:lang w:val="en-US" w:eastAsia="zh-CN"/>
              </w:rPr>
              <w:t>9、电动非标定制，大卷筒钢丝绳单层缠绕，电机双制动。</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道</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5"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升降对开大幕机</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1、尺寸：宽24m；</w:t>
            </w:r>
            <w:r>
              <w:rPr>
                <w:rFonts w:hint="eastAsia"/>
                <w:lang w:val="en-US" w:eastAsia="zh-CN"/>
              </w:rPr>
              <w:br w:type="textWrapping"/>
            </w:r>
            <w:r>
              <w:rPr>
                <w:rFonts w:hint="eastAsia"/>
                <w:lang w:val="en-US" w:eastAsia="zh-CN"/>
              </w:rPr>
              <w:t>2、升降速度：0-0.6m/s;</w:t>
            </w:r>
            <w:r>
              <w:rPr>
                <w:rFonts w:hint="eastAsia"/>
                <w:lang w:val="en-US" w:eastAsia="zh-CN"/>
              </w:rPr>
              <w:br w:type="textWrapping"/>
            </w:r>
            <w:r>
              <w:rPr>
                <w:rFonts w:hint="eastAsia"/>
                <w:lang w:val="en-US" w:eastAsia="zh-CN"/>
              </w:rPr>
              <w:t>3、行程：不小于19m;</w:t>
            </w:r>
            <w:r>
              <w:rPr>
                <w:rFonts w:hint="eastAsia"/>
                <w:lang w:val="en-US" w:eastAsia="zh-CN"/>
              </w:rPr>
              <w:br w:type="textWrapping"/>
            </w:r>
            <w:r>
              <w:rPr>
                <w:rFonts w:hint="eastAsia"/>
                <w:lang w:val="en-US" w:eastAsia="zh-CN"/>
              </w:rPr>
              <w:t>4、载荷：幕体+幕布自重；</w:t>
            </w:r>
            <w:r>
              <w:rPr>
                <w:rFonts w:hint="eastAsia"/>
                <w:lang w:val="en-US" w:eastAsia="zh-CN"/>
              </w:rPr>
              <w:br w:type="textWrapping"/>
            </w:r>
            <w:r>
              <w:rPr>
                <w:rFonts w:hint="eastAsia"/>
                <w:lang w:val="en-US" w:eastAsia="zh-CN"/>
              </w:rPr>
              <w:t>5、对开速度：0-1.0m/s;</w:t>
            </w:r>
            <w:r>
              <w:rPr>
                <w:rFonts w:hint="eastAsia"/>
                <w:lang w:val="en-US" w:eastAsia="zh-CN"/>
              </w:rPr>
              <w:br w:type="textWrapping"/>
            </w:r>
            <w:r>
              <w:rPr>
                <w:rFonts w:hint="eastAsia"/>
                <w:lang w:val="en-US" w:eastAsia="zh-CN"/>
              </w:rPr>
              <w:t>6、行程：单边9.5m（均匀对开）；</w:t>
            </w:r>
            <w:r>
              <w:rPr>
                <w:rFonts w:hint="eastAsia"/>
                <w:lang w:val="en-US" w:eastAsia="zh-CN"/>
              </w:rPr>
              <w:br w:type="textWrapping"/>
            </w:r>
            <w:r>
              <w:rPr>
                <w:rFonts w:hint="eastAsia"/>
                <w:lang w:val="en-US" w:eastAsia="zh-CN"/>
              </w:rPr>
              <w:t>7、载荷：幕布自重</w:t>
            </w:r>
            <w:r>
              <w:rPr>
                <w:rFonts w:hint="eastAsia"/>
                <w:lang w:val="en-US" w:eastAsia="zh-CN"/>
              </w:rPr>
              <w:br w:type="textWrapping"/>
            </w:r>
            <w:r>
              <w:rPr>
                <w:rFonts w:hint="eastAsia"/>
                <w:lang w:val="en-US" w:eastAsia="zh-CN"/>
              </w:rPr>
              <w:t>8、定位精度：±3mm；</w:t>
            </w:r>
            <w:r>
              <w:rPr>
                <w:rFonts w:hint="eastAsia"/>
                <w:lang w:val="en-US" w:eastAsia="zh-CN"/>
              </w:rPr>
              <w:br w:type="textWrapping"/>
            </w:r>
            <w:r>
              <w:rPr>
                <w:rFonts w:hint="eastAsia"/>
                <w:lang w:val="en-US" w:eastAsia="zh-CN"/>
              </w:rPr>
              <w:t>9、驱动类型：升降电动钢丝绳卷扬，对开钢丝绳曳引。</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套</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固定柱光架</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1、宽2.5m*高9m*深0.8m；</w:t>
            </w:r>
            <w:r>
              <w:rPr>
                <w:rFonts w:hint="eastAsia"/>
                <w:lang w:val="en-US" w:eastAsia="zh-CN"/>
              </w:rPr>
              <w:br w:type="textWrapping"/>
            </w:r>
            <w:r>
              <w:rPr>
                <w:rFonts w:hint="eastAsia"/>
                <w:lang w:val="en-US" w:eastAsia="zh-CN"/>
              </w:rPr>
              <w:t>2、框架承载：8.0KN（平均分布）；</w:t>
            </w:r>
            <w:r>
              <w:rPr>
                <w:rFonts w:hint="eastAsia"/>
                <w:lang w:val="en-US" w:eastAsia="zh-CN"/>
              </w:rPr>
              <w:br w:type="textWrapping"/>
            </w:r>
            <w:r>
              <w:rPr>
                <w:rFonts w:hint="eastAsia"/>
                <w:lang w:val="en-US" w:eastAsia="zh-CN"/>
              </w:rPr>
              <w:t>3、固定安装。</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套</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电动吊杆</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1、尺寸：宽23m；</w:t>
            </w:r>
            <w:r>
              <w:rPr>
                <w:rFonts w:hint="eastAsia"/>
                <w:lang w:val="en-US" w:eastAsia="zh-CN"/>
              </w:rPr>
              <w:br w:type="textWrapping"/>
            </w:r>
            <w:r>
              <w:rPr>
                <w:rFonts w:hint="eastAsia"/>
                <w:lang w:val="en-US" w:eastAsia="zh-CN"/>
              </w:rPr>
              <w:t>2、吊点数：不少于5吊点；</w:t>
            </w:r>
            <w:r>
              <w:rPr>
                <w:rFonts w:hint="eastAsia"/>
                <w:lang w:val="en-US" w:eastAsia="zh-CN"/>
              </w:rPr>
              <w:br w:type="textWrapping"/>
            </w:r>
            <w:r>
              <w:rPr>
                <w:rFonts w:hint="eastAsia"/>
                <w:lang w:val="en-US" w:eastAsia="zh-CN"/>
              </w:rPr>
              <w:t>3、行程：约19m；</w:t>
            </w:r>
            <w:r>
              <w:rPr>
                <w:rFonts w:hint="eastAsia"/>
                <w:lang w:val="en-US" w:eastAsia="zh-CN"/>
              </w:rPr>
              <w:br w:type="textWrapping"/>
            </w:r>
            <w:r>
              <w:rPr>
                <w:rFonts w:hint="eastAsia"/>
                <w:lang w:val="en-US" w:eastAsia="zh-CN"/>
              </w:rPr>
              <w:t>4、速度：0-0.7m/s；</w:t>
            </w:r>
            <w:r>
              <w:rPr>
                <w:rFonts w:hint="eastAsia"/>
                <w:lang w:val="en-US" w:eastAsia="zh-CN"/>
              </w:rPr>
              <w:br w:type="textWrapping"/>
            </w:r>
            <w:r>
              <w:rPr>
                <w:rFonts w:hint="eastAsia"/>
                <w:lang w:val="en-US" w:eastAsia="zh-CN"/>
              </w:rPr>
              <w:t>5、载荷：6.0kN（活载荷）；</w:t>
            </w:r>
            <w:r>
              <w:rPr>
                <w:rFonts w:hint="eastAsia"/>
                <w:lang w:val="en-US" w:eastAsia="zh-CN"/>
              </w:rPr>
              <w:br w:type="textWrapping"/>
            </w:r>
            <w:r>
              <w:rPr>
                <w:rFonts w:hint="eastAsia"/>
                <w:lang w:val="en-US" w:eastAsia="zh-CN"/>
              </w:rPr>
              <w:t>6、定位精度：±3mm；</w:t>
            </w:r>
            <w:r>
              <w:rPr>
                <w:rFonts w:hint="eastAsia"/>
                <w:lang w:val="en-US" w:eastAsia="zh-CN"/>
              </w:rPr>
              <w:br w:type="textWrapping"/>
            </w:r>
            <w:r>
              <w:rPr>
                <w:rFonts w:hint="eastAsia"/>
                <w:lang w:val="en-US" w:eastAsia="zh-CN"/>
              </w:rPr>
              <w:t>7、同步精度：±5mm；</w:t>
            </w:r>
            <w:r>
              <w:rPr>
                <w:rFonts w:hint="eastAsia"/>
                <w:lang w:val="en-US" w:eastAsia="zh-CN"/>
              </w:rPr>
              <w:br w:type="textWrapping"/>
            </w:r>
            <w:r>
              <w:rPr>
                <w:rFonts w:hint="eastAsia"/>
                <w:lang w:val="en-US" w:eastAsia="zh-CN"/>
              </w:rPr>
              <w:t>8、驱动类型：电动钢丝绳卷扬；</w:t>
            </w:r>
            <w:r>
              <w:rPr>
                <w:rFonts w:hint="eastAsia"/>
                <w:lang w:val="en-US" w:eastAsia="zh-CN"/>
              </w:rPr>
              <w:br w:type="textWrapping"/>
            </w:r>
            <w:r>
              <w:rPr>
                <w:rFonts w:hint="eastAsia"/>
                <w:lang w:val="en-US" w:eastAsia="zh-CN"/>
              </w:rPr>
              <w:t>9、保护装置：包含行程限位检测组件、防松绳机构、载荷安全监测组件等；</w:t>
            </w:r>
            <w:r>
              <w:rPr>
                <w:rFonts w:hint="eastAsia"/>
                <w:lang w:val="en-US" w:eastAsia="zh-CN"/>
              </w:rPr>
              <w:br w:type="textWrapping"/>
            </w:r>
            <w:r>
              <w:rPr>
                <w:rFonts w:hint="eastAsia"/>
                <w:lang w:val="en-US" w:eastAsia="zh-CN"/>
              </w:rPr>
              <w:t>10、电动非标定制，大卷筒钢丝绳单层缠绕，电机双制动。</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24</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道</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7"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灯光吊杆</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1、尺寸：宽21m；</w:t>
            </w:r>
            <w:r>
              <w:rPr>
                <w:rFonts w:hint="eastAsia"/>
                <w:lang w:val="en-US" w:eastAsia="zh-CN"/>
              </w:rPr>
              <w:br w:type="textWrapping"/>
            </w:r>
            <w:r>
              <w:rPr>
                <w:rFonts w:hint="eastAsia"/>
                <w:lang w:val="en-US" w:eastAsia="zh-CN"/>
              </w:rPr>
              <w:t>2、吊点数：不少于5吊点；</w:t>
            </w:r>
            <w:r>
              <w:rPr>
                <w:rFonts w:hint="eastAsia"/>
                <w:lang w:val="en-US" w:eastAsia="zh-CN"/>
              </w:rPr>
              <w:br w:type="textWrapping"/>
            </w:r>
            <w:r>
              <w:rPr>
                <w:rFonts w:hint="eastAsia"/>
                <w:lang w:val="en-US" w:eastAsia="zh-CN"/>
              </w:rPr>
              <w:t>3、行程：约12m；</w:t>
            </w:r>
            <w:r>
              <w:rPr>
                <w:rFonts w:hint="eastAsia"/>
                <w:lang w:val="en-US" w:eastAsia="zh-CN"/>
              </w:rPr>
              <w:br w:type="textWrapping"/>
            </w:r>
            <w:r>
              <w:rPr>
                <w:rFonts w:hint="eastAsia"/>
                <w:lang w:val="en-US" w:eastAsia="zh-CN"/>
              </w:rPr>
              <w:t>4、速度：0-0.3m/s；</w:t>
            </w:r>
            <w:r>
              <w:rPr>
                <w:rFonts w:hint="eastAsia"/>
                <w:lang w:val="en-US" w:eastAsia="zh-CN"/>
              </w:rPr>
              <w:br w:type="textWrapping"/>
            </w:r>
            <w:r>
              <w:rPr>
                <w:rFonts w:hint="eastAsia"/>
                <w:lang w:val="en-US" w:eastAsia="zh-CN"/>
              </w:rPr>
              <w:t>5、载荷：6.0kN（活载荷）；</w:t>
            </w:r>
            <w:r>
              <w:rPr>
                <w:rFonts w:hint="eastAsia"/>
                <w:lang w:val="en-US" w:eastAsia="zh-CN"/>
              </w:rPr>
              <w:br w:type="textWrapping"/>
            </w:r>
            <w:r>
              <w:rPr>
                <w:rFonts w:hint="eastAsia"/>
                <w:lang w:val="en-US" w:eastAsia="zh-CN"/>
              </w:rPr>
              <w:t>6、定位精度：±3mm；</w:t>
            </w:r>
            <w:r>
              <w:rPr>
                <w:rFonts w:hint="eastAsia"/>
                <w:lang w:val="en-US" w:eastAsia="zh-CN"/>
              </w:rPr>
              <w:br w:type="textWrapping"/>
            </w:r>
            <w:r>
              <w:rPr>
                <w:rFonts w:hint="eastAsia"/>
                <w:lang w:val="en-US" w:eastAsia="zh-CN"/>
              </w:rPr>
              <w:t>7、驱动类型：电动钢丝绳卷扬；</w:t>
            </w:r>
            <w:r>
              <w:rPr>
                <w:rFonts w:hint="eastAsia"/>
                <w:lang w:val="en-US" w:eastAsia="zh-CN"/>
              </w:rPr>
              <w:br w:type="textWrapping"/>
            </w:r>
            <w:r>
              <w:rPr>
                <w:rFonts w:hint="eastAsia"/>
                <w:lang w:val="en-US" w:eastAsia="zh-CN"/>
              </w:rPr>
              <w:t>8、保护装置：包含行程限位检测组件、防松绳机构、载荷安全监测组件等；</w:t>
            </w:r>
            <w:r>
              <w:rPr>
                <w:rFonts w:hint="eastAsia"/>
                <w:lang w:val="en-US" w:eastAsia="zh-CN"/>
              </w:rPr>
              <w:br w:type="textWrapping"/>
            </w:r>
            <w:r>
              <w:rPr>
                <w:rFonts w:hint="eastAsia"/>
                <w:lang w:val="en-US" w:eastAsia="zh-CN"/>
              </w:rPr>
              <w:t>9、电动非标定制，大卷筒钢丝绳单层缠绕，电机双制动。</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6</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道</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1"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侧灯光吊架</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1、尺寸：宽17m，含4个“目”字形挂灯架，挂灯架可沿舞台进深方向手动平移；</w:t>
            </w:r>
            <w:r>
              <w:rPr>
                <w:rFonts w:hint="eastAsia"/>
                <w:lang w:val="en-US" w:eastAsia="zh-CN"/>
              </w:rPr>
              <w:br w:type="textWrapping"/>
            </w:r>
            <w:r>
              <w:rPr>
                <w:rFonts w:hint="eastAsia"/>
                <w:lang w:val="en-US" w:eastAsia="zh-CN"/>
              </w:rPr>
              <w:t>2、吊点数：不少于5吊点；</w:t>
            </w:r>
            <w:r>
              <w:rPr>
                <w:rFonts w:hint="eastAsia"/>
                <w:lang w:val="en-US" w:eastAsia="zh-CN"/>
              </w:rPr>
              <w:br w:type="textWrapping"/>
            </w:r>
            <w:r>
              <w:rPr>
                <w:rFonts w:hint="eastAsia"/>
                <w:lang w:val="en-US" w:eastAsia="zh-CN"/>
              </w:rPr>
              <w:t>3、升降行程：约15m；</w:t>
            </w:r>
            <w:r>
              <w:rPr>
                <w:rFonts w:hint="eastAsia"/>
                <w:lang w:val="en-US" w:eastAsia="zh-CN"/>
              </w:rPr>
              <w:br w:type="textWrapping"/>
            </w:r>
            <w:r>
              <w:rPr>
                <w:rFonts w:hint="eastAsia"/>
                <w:lang w:val="en-US" w:eastAsia="zh-CN"/>
              </w:rPr>
              <w:t>4、升降速度：0-0.3m/s；</w:t>
            </w:r>
            <w:r>
              <w:rPr>
                <w:rFonts w:hint="eastAsia"/>
                <w:lang w:val="en-US" w:eastAsia="zh-CN"/>
              </w:rPr>
              <w:br w:type="textWrapping"/>
            </w:r>
            <w:r>
              <w:rPr>
                <w:rFonts w:hint="eastAsia"/>
                <w:lang w:val="en-US" w:eastAsia="zh-CN"/>
              </w:rPr>
              <w:t>5、升降载荷：6.0kN（活载荷）；</w:t>
            </w:r>
            <w:r>
              <w:rPr>
                <w:rFonts w:hint="eastAsia"/>
                <w:lang w:val="en-US" w:eastAsia="zh-CN"/>
              </w:rPr>
              <w:br w:type="textWrapping"/>
            </w:r>
            <w:r>
              <w:rPr>
                <w:rFonts w:hint="eastAsia"/>
                <w:lang w:val="en-US" w:eastAsia="zh-CN"/>
              </w:rPr>
              <w:t>6、定位精度：±3mm；</w:t>
            </w:r>
            <w:r>
              <w:rPr>
                <w:rFonts w:hint="eastAsia"/>
                <w:lang w:val="en-US" w:eastAsia="zh-CN"/>
              </w:rPr>
              <w:br w:type="textWrapping"/>
            </w:r>
            <w:r>
              <w:rPr>
                <w:rFonts w:hint="eastAsia"/>
                <w:lang w:val="en-US" w:eastAsia="zh-CN"/>
              </w:rPr>
              <w:t>7、驱动类型：电动钢丝绳卷扬（升降），手动（平移）；</w:t>
            </w:r>
            <w:r>
              <w:rPr>
                <w:rFonts w:hint="eastAsia"/>
                <w:lang w:val="en-US" w:eastAsia="zh-CN"/>
              </w:rPr>
              <w:br w:type="textWrapping"/>
            </w:r>
            <w:r>
              <w:rPr>
                <w:rFonts w:hint="eastAsia"/>
                <w:lang w:val="en-US" w:eastAsia="zh-CN"/>
              </w:rPr>
              <w:t>8、保护装置：包含行程限位检测组件、防松绳机构、载荷安全监测组件等；</w:t>
            </w:r>
            <w:r>
              <w:rPr>
                <w:rFonts w:hint="eastAsia"/>
                <w:lang w:val="en-US" w:eastAsia="zh-CN"/>
              </w:rPr>
              <w:br w:type="textWrapping"/>
            </w:r>
            <w:r>
              <w:rPr>
                <w:rFonts w:hint="eastAsia"/>
                <w:lang w:val="en-US" w:eastAsia="zh-CN"/>
              </w:rPr>
              <w:t>9、电动非标定制，大卷筒钢丝绳单层缠绕，电机双制动。</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2</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道</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原设备拆除</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1、原电动吊杆、灯杆、大幕、侧灯光吊架驱动机、电气柜、强弱电线槽等设备的拆除；</w:t>
            </w:r>
            <w:r>
              <w:rPr>
                <w:rFonts w:hint="eastAsia"/>
                <w:lang w:val="en-US" w:eastAsia="zh-CN"/>
              </w:rPr>
              <w:br w:type="textWrapping"/>
            </w:r>
            <w:r>
              <w:rPr>
                <w:rFonts w:hint="eastAsia"/>
                <w:lang w:val="en-US" w:eastAsia="zh-CN"/>
              </w:rPr>
              <w:t>2、包含人工、机械、搬运等费用。</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项</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钢结构加固</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拐角滑轮梁、驱动机安装梁的更换，部分后置埋件、栅顶部分结构的补强等。</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项</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lang w:val="en-US"/>
              </w:rPr>
            </w:pPr>
            <w:r>
              <w:rPr>
                <w:rFonts w:hint="eastAsia"/>
                <w:lang w:val="en-US" w:eastAsia="zh-CN"/>
              </w:rPr>
              <w:t>舞台机械电气及控制系统-中央控制系统</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1、系统控制站（控制台）和PLC主控制器间通过以太网连接，网络速率可达100MBPS。网络容量大于控制器数量并留有超过10%以上的扩充余量。网络数据传输速率完全满足系统控制的实时性要求；</w:t>
            </w:r>
          </w:p>
          <w:p>
            <w:pPr>
              <w:rPr>
                <w:rFonts w:hint="eastAsia"/>
              </w:rPr>
            </w:pPr>
            <w:r>
              <w:t>▲</w:t>
            </w:r>
            <w:r>
              <w:rPr>
                <w:rFonts w:hint="eastAsia"/>
                <w:lang w:val="en-US" w:eastAsia="zh-CN"/>
              </w:rPr>
              <w:t>2、控制系统可实时检测所有设备的位置、限位状态、运行状态等（包括非选中设备在内的所有设备），升降位置可预先设定，可控制升降到指定位置，各设定位置可记忆和调出；</w:t>
            </w:r>
            <w:r>
              <w:rPr>
                <w:rFonts w:hint="eastAsia"/>
                <w:lang w:val="en-US" w:eastAsia="zh-CN"/>
              </w:rPr>
              <w:br w:type="textWrapping"/>
            </w:r>
            <w:r>
              <w:t>▲</w:t>
            </w:r>
            <w:r>
              <w:rPr>
                <w:rFonts w:hint="eastAsia"/>
                <w:lang w:val="en-US" w:eastAsia="zh-CN"/>
              </w:rPr>
              <w:t>3、控制系统操作功能说明：计算机模式分为装台模式和演出模式，同时能实现设备参数配置、使能设置、各设备状态监控和故障的实时报警及报警复位。装台模式：编辑设备运行参数，可针对设备设置其运行速度、延时时间、往返等参数，并可一键设置所有待运行设备的运行参数；演出模式：针对编辑好的场景完成设备的指定运行，可实时显示场次运行状态、场次备注信息及下一场景待运行设备信息；系统支持场景自动切换并触发运行；系统管理：各设备的运行状况指示和命令指示；功能包括剧目场景管理、编组管理、用户管理、设备管理、状态查询、日志管理等功能；</w:t>
            </w:r>
            <w:r>
              <w:rPr>
                <w:rFonts w:hint="eastAsia"/>
                <w:lang w:val="en-US" w:eastAsia="zh-CN"/>
              </w:rPr>
              <w:br w:type="textWrapping"/>
            </w:r>
            <w:r>
              <w:t>▲</w:t>
            </w:r>
            <w:r>
              <w:rPr>
                <w:rFonts w:hint="eastAsia"/>
                <w:lang w:val="en-US" w:eastAsia="zh-CN"/>
              </w:rPr>
              <w:t>4、对编场控制时，场景运行过程中的多个设备联动控制，可实现目标位置运行、往返运行等动作；</w:t>
            </w:r>
            <w:r>
              <w:rPr>
                <w:rFonts w:hint="eastAsia"/>
                <w:lang w:val="en-US" w:eastAsia="zh-CN"/>
              </w:rPr>
              <w:br w:type="textWrapping"/>
            </w:r>
            <w:r>
              <w:rPr>
                <w:rFonts w:hint="eastAsia"/>
                <w:lang w:val="en-US" w:eastAsia="zh-CN"/>
              </w:rPr>
              <w:t>5、多操作台控制终端提供协同控制功能，不同的操作台可同时对不同设备进行控制操作，不同的操作台可同时在装台模式或演出模式下运行。同时多操作之间设置了安全协同保护，同一设备不会被不同操作台同时选定控制，避免人员误操作，并且在任意操作台可查看和监控其他操作选定的设备及运行状况；</w:t>
            </w:r>
            <w:r>
              <w:rPr>
                <w:rFonts w:hint="eastAsia"/>
                <w:lang w:val="en-US" w:eastAsia="zh-CN"/>
              </w:rPr>
              <w:br w:type="textWrapping"/>
            </w:r>
            <w:r>
              <w:rPr>
                <w:rFonts w:hint="eastAsia"/>
                <w:lang w:val="en-US" w:eastAsia="zh-CN"/>
              </w:rPr>
              <w:t>6、控制系统各操作终端能通过数据管理平台共享，实现各操作终端设备及场次数据共享；</w:t>
            </w:r>
            <w:r>
              <w:rPr>
                <w:rFonts w:hint="eastAsia"/>
                <w:lang w:val="en-US" w:eastAsia="zh-CN"/>
              </w:rPr>
              <w:br w:type="textWrapping"/>
            </w:r>
            <w:r>
              <w:t>▲</w:t>
            </w:r>
            <w:r>
              <w:rPr>
                <w:rFonts w:hint="eastAsia"/>
                <w:lang w:val="en-US" w:eastAsia="zh-CN"/>
              </w:rPr>
              <w:t>7、系统配备设备远程监控服务器，提供演艺设备云平台管理系统，具有系统管理、设备管理、设备部件管理、监控管理、设备状况实时监控、报警管理功能；</w:t>
            </w:r>
            <w:r>
              <w:rPr>
                <w:rFonts w:hint="eastAsia"/>
                <w:lang w:val="en-US" w:eastAsia="zh-CN"/>
              </w:rPr>
              <w:br w:type="textWrapping"/>
            </w:r>
            <w:r>
              <w:t>▲</w:t>
            </w:r>
            <w:r>
              <w:rPr>
                <w:rFonts w:hint="eastAsia"/>
                <w:lang w:val="en-US" w:eastAsia="zh-CN"/>
              </w:rPr>
              <w:t>8、控制系统支持设备编组协同运行，编组可以根据运行要求进行使能控制，编组可根据用户自由选择所需运行的设备组成，编组运行模式包括：自由编组，同步编组模式。编组故障响应包括：单停，全停。</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项</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lang w:val="en-US" w:eastAsia="zh-CN"/>
              </w:rPr>
            </w:pPr>
            <w:r>
              <w:rPr>
                <w:rFonts w:hint="eastAsia"/>
                <w:lang w:val="en-US" w:eastAsia="zh-CN"/>
              </w:rPr>
              <w:t>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舞台机械控制系统-驱动系统</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b/>
                <w:bCs/>
              </w:rPr>
              <w:t>◆</w:t>
            </w:r>
            <w:r>
              <w:rPr>
                <w:rFonts w:hint="eastAsia"/>
                <w:lang w:val="en-US" w:eastAsia="zh-CN"/>
              </w:rPr>
              <w:t>1、驱动层的驱动器应摒弃原有传统集中安装方式，须采用分布式安装，均采用1对1变频控制方式。独立的驱动器箱面板应具备本地急停、速度旋钮、限位使能、极限使能、本地/远程、正转/反转控制等操作；</w:t>
            </w:r>
            <w:r>
              <w:rPr>
                <w:rFonts w:hint="eastAsia"/>
                <w:lang w:val="en-US" w:eastAsia="zh-CN"/>
              </w:rPr>
              <w:br w:type="textWrapping"/>
            </w:r>
            <w:r>
              <w:rPr>
                <w:rFonts w:hint="eastAsia"/>
                <w:lang w:val="en-US" w:eastAsia="zh-CN"/>
              </w:rPr>
              <w:t>2、系统低压产品采用进口品牌能够适应现场恶劣环境使用的要求；</w:t>
            </w:r>
            <w:r>
              <w:rPr>
                <w:rFonts w:hint="eastAsia"/>
                <w:lang w:val="en-US" w:eastAsia="zh-CN"/>
              </w:rPr>
              <w:br w:type="textWrapping"/>
            </w:r>
            <w:r>
              <w:rPr>
                <w:rFonts w:hint="eastAsia"/>
                <w:lang w:val="en-US" w:eastAsia="zh-CN"/>
              </w:rPr>
              <w:t>3、单台设备在单台控制时多次运行后位移误差为±3mm，多台集控设备多次运行后位移误差为±3mm；</w:t>
            </w:r>
            <w:r>
              <w:rPr>
                <w:rFonts w:hint="eastAsia"/>
                <w:lang w:val="en-US" w:eastAsia="zh-CN"/>
              </w:rPr>
              <w:br w:type="textWrapping"/>
            </w:r>
            <w:r>
              <w:rPr>
                <w:rFonts w:hint="eastAsia"/>
                <w:lang w:val="en-US" w:eastAsia="zh-CN"/>
              </w:rPr>
              <w:t>4、控制系统在编组中支持不同功率、不同速度的设备同步运行，同步运行精度不大于±5mm。</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项</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lang w:val="en-US" w:eastAsia="zh-CN"/>
              </w:rPr>
            </w:pPr>
            <w:r>
              <w:rPr>
                <w:rFonts w:hint="eastAsia"/>
                <w:lang w:val="en-US" w:eastAsia="zh-CN"/>
              </w:rPr>
              <w:t>11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舞台机械控制系统-操作系统</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lang w:val="en-US" w:eastAsia="zh-CN"/>
              </w:rPr>
            </w:pPr>
            <w:r>
              <w:t>▲</w:t>
            </w:r>
            <w:r>
              <w:rPr>
                <w:rFonts w:hint="eastAsia"/>
                <w:lang w:val="en-US" w:eastAsia="zh-CN"/>
              </w:rPr>
              <w:t>1、控制系统具备各种故障提醒及诊断功能：电源过压、欠压、缺相、过流等故障信息以及吊杆高度、限位状态等运行参量能返送回控制界面，使操作人员能及时了解系统运行，操作方便、便于检修；</w:t>
            </w:r>
            <w:r>
              <w:rPr>
                <w:rFonts w:hint="eastAsia"/>
                <w:lang w:val="en-US" w:eastAsia="zh-CN"/>
              </w:rPr>
              <w:br w:type="textWrapping"/>
            </w:r>
            <w:r>
              <w:t>▲</w:t>
            </w:r>
            <w:r>
              <w:rPr>
                <w:rFonts w:hint="eastAsia"/>
                <w:lang w:val="en-US" w:eastAsia="zh-CN"/>
              </w:rPr>
              <w:t>2、控制系统提供全局设备的运行状态监控，监控内容包括：设备位置、速度、限位、故障状态、故障信息、互锁关系等；</w:t>
            </w:r>
            <w:r>
              <w:rPr>
                <w:rFonts w:hint="eastAsia"/>
                <w:lang w:val="en-US" w:eastAsia="zh-CN"/>
              </w:rPr>
              <w:br w:type="textWrapping"/>
            </w:r>
            <w:r>
              <w:t>▲</w:t>
            </w:r>
            <w:r>
              <w:rPr>
                <w:rFonts w:hint="eastAsia"/>
                <w:lang w:val="en-US" w:eastAsia="zh-CN"/>
              </w:rPr>
              <w:t>3、信息显示包括设备状态信息、报警信息和以3D图显示的设备排布位置信息；</w:t>
            </w:r>
            <w:r>
              <w:rPr>
                <w:rFonts w:hint="eastAsia"/>
                <w:lang w:val="en-US" w:eastAsia="zh-CN"/>
              </w:rPr>
              <w:br w:type="textWrapping"/>
            </w:r>
            <w:r>
              <w:t>▲</w:t>
            </w:r>
            <w:r>
              <w:rPr>
                <w:rFonts w:hint="eastAsia"/>
                <w:lang w:val="en-US" w:eastAsia="zh-CN"/>
              </w:rPr>
              <w:t>4、系统支持场景仿真运行，在不运行实际设备的情况下模拟运行，在降低设备运行损耗的情况下还原设备运行效果；</w:t>
            </w:r>
            <w:r>
              <w:rPr>
                <w:rFonts w:hint="eastAsia"/>
                <w:lang w:val="en-US" w:eastAsia="zh-CN"/>
              </w:rPr>
              <w:br w:type="textWrapping"/>
            </w:r>
            <w:r>
              <w:t>▲</w:t>
            </w:r>
            <w:r>
              <w:rPr>
                <w:rFonts w:hint="eastAsia"/>
                <w:lang w:val="en-US" w:eastAsia="zh-CN"/>
              </w:rPr>
              <w:t>5、控制系统在编组中的场景编辑中支持表格化编辑，可通过设备记忆位置快速设定运行参数，可一键设定多个设备运行速度或目标位置，剧目管理中可快捷添加多个新建场景；</w:t>
            </w:r>
            <w:r>
              <w:rPr>
                <w:rFonts w:hint="eastAsia"/>
                <w:lang w:val="en-US" w:eastAsia="zh-CN"/>
              </w:rPr>
              <w:br w:type="textWrapping"/>
            </w:r>
            <w:r>
              <w:t>▲</w:t>
            </w:r>
            <w:r>
              <w:rPr>
                <w:rFonts w:hint="eastAsia"/>
                <w:lang w:val="en-US" w:eastAsia="zh-CN"/>
              </w:rPr>
              <w:t>6、控制系统在装台模式下可一键设置多个设备的目标位置。</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项</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lang w:val="en-US" w:eastAsia="zh-CN"/>
              </w:rPr>
            </w:pPr>
            <w:r>
              <w:rPr>
                <w:rFonts w:hint="eastAsia"/>
                <w:lang w:val="en-US" w:eastAsia="zh-CN"/>
              </w:rPr>
              <w:t>12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载荷安全监测系统</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b/>
                <w:bCs/>
              </w:rPr>
              <w:t>◆</w:t>
            </w:r>
            <w:r>
              <w:rPr>
                <w:rFonts w:hint="eastAsia"/>
                <w:lang w:val="en-US" w:eastAsia="zh-CN"/>
              </w:rPr>
              <w:t>1、载荷安全监测系统服务器配备内存≥4G，SSD固态硬盘≥128G，R485接口≥8个，网口≥2个，支持级联；</w:t>
            </w:r>
            <w:r>
              <w:rPr>
                <w:rFonts w:hint="eastAsia"/>
                <w:lang w:val="en-US" w:eastAsia="zh-CN"/>
              </w:rPr>
              <w:br w:type="textWrapping"/>
            </w:r>
            <w:r>
              <w:rPr>
                <w:b/>
                <w:bCs/>
              </w:rPr>
              <w:t>◆</w:t>
            </w:r>
            <w:r>
              <w:rPr>
                <w:rFonts w:hint="eastAsia"/>
                <w:lang w:val="en-US" w:eastAsia="zh-CN"/>
              </w:rPr>
              <w:t>2、载荷安全监测系统需与舞台机械控制系统-操作系统兼容，可在主操作台、移动操作台上实时查看机械设备载荷情况；</w:t>
            </w:r>
            <w:r>
              <w:rPr>
                <w:rFonts w:hint="eastAsia"/>
                <w:lang w:val="en-US" w:eastAsia="zh-CN"/>
              </w:rPr>
              <w:br w:type="textWrapping"/>
            </w:r>
            <w:r>
              <w:rPr>
                <w:b/>
                <w:bCs/>
              </w:rPr>
              <w:t>◆</w:t>
            </w:r>
            <w:r>
              <w:rPr>
                <w:rFonts w:hint="eastAsia"/>
                <w:lang w:val="en-US" w:eastAsia="zh-CN"/>
              </w:rPr>
              <w:t>3、载荷安全监测系统数据显示支持表格化、柱状图等显示方式；</w:t>
            </w:r>
            <w:r>
              <w:rPr>
                <w:rFonts w:hint="eastAsia"/>
                <w:lang w:val="en-US" w:eastAsia="zh-CN"/>
              </w:rPr>
              <w:br w:type="textWrapping"/>
            </w:r>
            <w:r>
              <w:rPr>
                <w:rFonts w:hint="eastAsia"/>
                <w:lang w:val="en-US" w:eastAsia="zh-CN"/>
              </w:rPr>
              <w:t>4、当机械设备载荷超过最大载荷设定值时，载荷安全监测系统须立即报警并将运行中的机械设备实现安全停车。</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项</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lang w:val="en-US" w:eastAsia="zh-CN"/>
              </w:rPr>
            </w:pPr>
            <w:r>
              <w:rPr>
                <w:rFonts w:hint="eastAsia"/>
                <w:lang w:val="en-US" w:eastAsia="zh-CN"/>
              </w:rPr>
              <w:t>13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rFonts w:hint="eastAsia"/>
                <w:lang w:val="en-US" w:eastAsia="zh-CN"/>
              </w:rPr>
              <w:t>安全管理系统</w:t>
            </w:r>
          </w:p>
        </w:tc>
        <w:tc>
          <w:tcPr>
            <w:tcW w:w="6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r>
              <w:rPr>
                <w:b/>
                <w:bCs/>
              </w:rPr>
              <w:t>◆</w:t>
            </w:r>
            <w:r>
              <w:rPr>
                <w:rFonts w:hint="eastAsia"/>
                <w:lang w:val="en-US" w:eastAsia="zh-CN"/>
              </w:rPr>
              <w:t>系统需配置独立的性能可靠的安全管理系统，安全管理系统须采用“系统安全功能”达到SIL3等级要求的安全控制器，能有效地对系统安全进行控制管理。</w:t>
            </w:r>
          </w:p>
        </w:tc>
        <w:tc>
          <w:tcPr>
            <w:tcW w:w="59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项</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lang w:val="en-US" w:eastAsia="zh-CN"/>
              </w:rPr>
            </w:pPr>
            <w:r>
              <w:rPr>
                <w:rFonts w:hint="eastAsia"/>
                <w:lang w:val="en-US" w:eastAsia="zh-CN"/>
              </w:rPr>
              <w:t>甘工大、北特圣迪、金东高科</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lang w:val="en-US" w:eastAsia="zh-CN"/>
              </w:rPr>
            </w:pP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rPr>
                <w:rFonts w:hint="eastAsia" w:ascii="Times New Roman" w:hAnsi="Times New Roman" w:eastAsia="Times New Roman" w:cs="Arial Unicode MS"/>
                <w:color w:val="auto"/>
                <w:spacing w:val="0"/>
                <w:w w:val="100"/>
                <w:position w:val="0"/>
                <w:sz w:val="24"/>
                <w:szCs w:val="24"/>
                <w:shd w:val="clear" w:color="auto" w:fill="auto"/>
                <w:lang w:val="en-US" w:eastAsia="zh-CN" w:bidi="en-US"/>
              </w:rPr>
            </w:pPr>
          </w:p>
        </w:tc>
      </w:tr>
    </w:tbl>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投标人名称（盖章）：</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法定代表人或授权代表（签字）：</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default"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     期 ：       年     月      日</w:t>
      </w:r>
    </w:p>
    <w:p>
      <w:pPr>
        <w:pStyle w:val="6"/>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sectPr>
          <w:pgSz w:w="16838" w:h="11906" w:orient="landscape"/>
          <w:pgMar w:top="1134" w:right="1440" w:bottom="1134" w:left="1440" w:header="851" w:footer="992" w:gutter="0"/>
          <w:cols w:space="0" w:num="1"/>
          <w:rtlGutter w:val="0"/>
          <w:docGrid w:type="lines" w:linePitch="332" w:charSpace="0"/>
        </w:sectPr>
      </w:pPr>
    </w:p>
    <w:p>
      <w:pPr>
        <w:pStyle w:val="6"/>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附件5：商务应答表</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20"/>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1667"/>
        <w:gridCol w:w="4802"/>
        <w:gridCol w:w="1314"/>
        <w:gridCol w:w="9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ind w:left="188"/>
              <w:jc w:val="both"/>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1667"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4802" w:type="dxa"/>
            <w:noWrap w:val="0"/>
            <w:vAlign w:val="top"/>
          </w:tcPr>
          <w:p>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31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pacing w:val="8"/>
                <w:sz w:val="24"/>
                <w:szCs w:val="24"/>
                <w:u w:val="none" w:color="auto"/>
                <w:lang w:val="en-US" w:eastAsia="zh-CN"/>
              </w:rPr>
            </w:pPr>
            <w:r>
              <w:rPr>
                <w:rFonts w:hint="eastAsia" w:ascii="宋体" w:hAnsi="宋体" w:eastAsia="宋体" w:cs="宋体"/>
                <w:spacing w:val="8"/>
                <w:sz w:val="24"/>
                <w:szCs w:val="24"/>
                <w:u w:val="none" w:color="auto"/>
                <w:lang w:val="zh-CN"/>
              </w:rPr>
              <w:t>1</w:t>
            </w:r>
          </w:p>
        </w:tc>
        <w:tc>
          <w:tcPr>
            <w:tcW w:w="1667" w:type="dxa"/>
            <w:noWrap w:val="0"/>
            <w:vAlign w:val="center"/>
          </w:tcPr>
          <w:p>
            <w:pPr>
              <w:shd w:val="clear" w:color="auto" w:fill="auto"/>
              <w:adjustRightInd w:val="0"/>
              <w:spacing w:line="320" w:lineRule="exact"/>
              <w:ind w:left="0" w:leftChars="0" w:right="0" w:rightChars="0" w:firstLine="0" w:firstLineChars="0"/>
              <w:jc w:val="center"/>
              <w:rPr>
                <w:rFonts w:hint="default" w:ascii="宋体" w:hAnsi="宋体" w:eastAsia="宋体" w:cs="宋体"/>
                <w:spacing w:val="8"/>
                <w:sz w:val="24"/>
                <w:szCs w:val="24"/>
                <w:u w:val="none" w:color="auto"/>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工期要求</w:t>
            </w:r>
          </w:p>
        </w:tc>
        <w:tc>
          <w:tcPr>
            <w:tcW w:w="4802" w:type="dxa"/>
            <w:noWrap w:val="0"/>
            <w:vAlign w:val="top"/>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p>
          <w:p>
            <w:pPr>
              <w:shd w:val="clear" w:color="auto" w:fill="auto"/>
              <w:adjustRightInd w:val="0"/>
              <w:spacing w:line="320" w:lineRule="exact"/>
              <w:ind w:left="0" w:leftChars="0" w:right="0" w:rightChars="0" w:firstLine="0" w:firstLineChars="0"/>
              <w:jc w:val="center"/>
              <w:rPr>
                <w:rFonts w:hint="default" w:ascii="宋体" w:hAnsi="宋体" w:eastAsia="宋体" w:cs="宋体"/>
                <w:spacing w:val="8"/>
                <w:sz w:val="24"/>
                <w:szCs w:val="24"/>
                <w:u w:val="none" w:color="auto"/>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合同签订后</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45天内</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交付使用</w:t>
            </w:r>
          </w:p>
        </w:tc>
        <w:tc>
          <w:tcPr>
            <w:tcW w:w="1314" w:type="dxa"/>
            <w:noWrap w:val="0"/>
            <w:vAlign w:val="center"/>
          </w:tcPr>
          <w:p>
            <w:pPr>
              <w:shd w:val="clear" w:color="auto" w:fill="auto"/>
              <w:adjustRightInd w:val="0"/>
              <w:spacing w:line="320" w:lineRule="exact"/>
              <w:ind w:left="0" w:leftChars="0" w:right="0" w:rightChars="0" w:firstLine="0" w:firstLineChars="0"/>
              <w:jc w:val="center"/>
              <w:rPr>
                <w:rFonts w:hint="default" w:hAnsi="宋体" w:eastAsia="宋体" w:cs="宋体"/>
                <w:sz w:val="24"/>
                <w:szCs w:val="24"/>
                <w:u w:val="none" w:color="auto"/>
                <w:lang w:val="en-US" w:eastAsia="zh-CN"/>
              </w:rPr>
            </w:pPr>
            <w:r>
              <w:rPr>
                <w:rFonts w:hint="eastAsia" w:hAnsi="宋体" w:eastAsia="宋体" w:cs="宋体"/>
                <w:sz w:val="24"/>
                <w:szCs w:val="24"/>
                <w:u w:val="none" w:color="auto"/>
                <w:lang w:val="en-US" w:eastAsia="zh-CN"/>
              </w:rPr>
              <w:t>完全响应</w:t>
            </w: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pacing w:val="8"/>
                <w:sz w:val="24"/>
                <w:szCs w:val="24"/>
                <w:u w:val="none" w:color="auto"/>
                <w:lang w:val="en-US" w:eastAsia="zh-CN"/>
              </w:rPr>
            </w:pPr>
            <w:r>
              <w:rPr>
                <w:rFonts w:hint="eastAsia" w:ascii="宋体" w:hAnsi="宋体" w:eastAsia="宋体" w:cs="宋体"/>
                <w:spacing w:val="8"/>
                <w:sz w:val="24"/>
                <w:szCs w:val="24"/>
                <w:u w:val="none" w:color="auto"/>
                <w:lang w:val="zh-CN"/>
              </w:rPr>
              <w:t>2</w:t>
            </w:r>
          </w:p>
        </w:tc>
        <w:tc>
          <w:tcPr>
            <w:tcW w:w="1667" w:type="dxa"/>
            <w:noWrap w:val="0"/>
            <w:vAlign w:val="center"/>
          </w:tcPr>
          <w:p>
            <w:pPr>
              <w:shd w:val="clear" w:color="auto" w:fill="auto"/>
              <w:adjustRightInd w:val="0"/>
              <w:spacing w:line="320" w:lineRule="exact"/>
              <w:ind w:left="0" w:leftChars="0" w:right="0" w:rightChars="0" w:firstLine="0" w:firstLineChars="0"/>
              <w:jc w:val="center"/>
              <w:rPr>
                <w:rFonts w:hint="eastAsia" w:ascii="宋体" w:hAnsi="宋体" w:eastAsia="宋体" w:cs="宋体"/>
                <w:spacing w:val="8"/>
                <w:sz w:val="24"/>
                <w:szCs w:val="24"/>
                <w:u w:val="none" w:color="auto"/>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实施</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地点</w:t>
            </w:r>
          </w:p>
        </w:tc>
        <w:tc>
          <w:tcPr>
            <w:tcW w:w="4802" w:type="dxa"/>
            <w:noWrap w:val="0"/>
            <w:vAlign w:val="top"/>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eastAsia" w:ascii="宋体" w:hAnsi="宋体" w:eastAsia="宋体" w:cs="宋体"/>
                <w:spacing w:val="8"/>
                <w:sz w:val="24"/>
                <w:szCs w:val="24"/>
                <w:u w:val="none" w:color="auto"/>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江油大剧院三楼剧场</w:t>
            </w:r>
          </w:p>
        </w:tc>
        <w:tc>
          <w:tcPr>
            <w:tcW w:w="1314"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pacing w:val="8"/>
                <w:sz w:val="24"/>
                <w:szCs w:val="24"/>
                <w:u w:val="none" w:color="auto"/>
                <w:lang w:val="en-US" w:eastAsia="zh-CN"/>
              </w:rPr>
            </w:pPr>
            <w:r>
              <w:rPr>
                <w:rFonts w:hint="eastAsia" w:ascii="宋体" w:hAnsi="宋体" w:eastAsia="宋体" w:cs="宋体"/>
                <w:spacing w:val="8"/>
                <w:sz w:val="24"/>
                <w:szCs w:val="24"/>
                <w:u w:val="none" w:color="auto"/>
                <w:lang w:val="en-US" w:eastAsia="zh-CN"/>
              </w:rPr>
              <w:t>3</w:t>
            </w:r>
          </w:p>
        </w:tc>
        <w:tc>
          <w:tcPr>
            <w:tcW w:w="1667" w:type="dxa"/>
            <w:noWrap w:val="0"/>
            <w:vAlign w:val="center"/>
          </w:tcPr>
          <w:p>
            <w:pPr>
              <w:shd w:val="clear" w:color="auto" w:fill="auto"/>
              <w:adjustRightInd w:val="0"/>
              <w:spacing w:line="320" w:lineRule="exact"/>
              <w:ind w:left="0" w:leftChars="0" w:right="0" w:rightChars="0" w:firstLine="0" w:firstLineChars="0"/>
              <w:jc w:val="center"/>
              <w:rPr>
                <w:rFonts w:hint="eastAsia" w:ascii="宋体" w:hAnsi="宋体" w:eastAsia="宋体" w:cs="宋体"/>
                <w:spacing w:val="8"/>
                <w:sz w:val="24"/>
                <w:szCs w:val="24"/>
                <w:u w:val="none" w:color="auto"/>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验收要求</w:t>
            </w:r>
          </w:p>
        </w:tc>
        <w:tc>
          <w:tcPr>
            <w:tcW w:w="4802" w:type="dxa"/>
            <w:noWrap w:val="0"/>
            <w:vAlign w:val="top"/>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eastAsia" w:ascii="宋体" w:hAnsi="宋体" w:eastAsia="宋体" w:cs="宋体"/>
                <w:spacing w:val="8"/>
                <w:sz w:val="24"/>
                <w:szCs w:val="24"/>
                <w:u w:val="none" w:color="auto"/>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按照</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相关</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要求</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进行</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w:t>
            </w:r>
          </w:p>
        </w:tc>
        <w:tc>
          <w:tcPr>
            <w:tcW w:w="1314"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223" w:line="576" w:lineRule="exact"/>
              <w:jc w:val="center"/>
              <w:textAlignment w:val="auto"/>
              <w:rPr>
                <w:rFonts w:hint="default" w:ascii="宋体" w:hAnsi="宋体" w:eastAsia="宋体" w:cs="宋体"/>
                <w:spacing w:val="8"/>
                <w:sz w:val="24"/>
                <w:szCs w:val="24"/>
                <w:u w:val="none" w:color="auto"/>
                <w:lang w:val="en-US" w:eastAsia="zh-CN"/>
              </w:rPr>
            </w:pPr>
            <w:r>
              <w:rPr>
                <w:rFonts w:hint="eastAsia" w:ascii="宋体" w:hAnsi="宋体" w:eastAsia="宋体" w:cs="宋体"/>
                <w:spacing w:val="8"/>
                <w:sz w:val="24"/>
                <w:szCs w:val="24"/>
                <w:u w:val="none" w:color="auto"/>
                <w:lang w:val="en-US" w:eastAsia="zh-CN"/>
              </w:rPr>
              <w:t>4</w:t>
            </w:r>
          </w:p>
        </w:tc>
        <w:tc>
          <w:tcPr>
            <w:tcW w:w="1667"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履约保证金</w:t>
            </w:r>
          </w:p>
        </w:tc>
        <w:tc>
          <w:tcPr>
            <w:tcW w:w="4802" w:type="dxa"/>
            <w:noWrap w:val="0"/>
            <w:vAlign w:val="top"/>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交投标人在中标后</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5</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个工作日内需缴纳成交合同金额5%的履约保证金</w:t>
            </w:r>
          </w:p>
        </w:tc>
        <w:tc>
          <w:tcPr>
            <w:tcW w:w="1314"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223" w:line="576" w:lineRule="exact"/>
              <w:jc w:val="center"/>
              <w:textAlignment w:val="auto"/>
              <w:rPr>
                <w:rFonts w:hint="default" w:ascii="宋体" w:hAnsi="宋体" w:eastAsia="宋体" w:cs="宋体"/>
                <w:spacing w:val="8"/>
                <w:sz w:val="24"/>
                <w:szCs w:val="24"/>
                <w:u w:val="none" w:color="auto"/>
                <w:lang w:val="en-US" w:eastAsia="zh-CN"/>
              </w:rPr>
            </w:pPr>
            <w:r>
              <w:rPr>
                <w:rFonts w:hint="eastAsia" w:ascii="宋体" w:hAnsi="宋体" w:eastAsia="宋体" w:cs="宋体"/>
                <w:spacing w:val="8"/>
                <w:sz w:val="24"/>
                <w:szCs w:val="24"/>
                <w:u w:val="none" w:color="auto"/>
                <w:lang w:val="en-US" w:eastAsia="zh-CN"/>
              </w:rPr>
              <w:t>5</w:t>
            </w:r>
          </w:p>
        </w:tc>
        <w:tc>
          <w:tcPr>
            <w:tcW w:w="1667"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款项支付方式、进度</w:t>
            </w:r>
            <w:bookmarkStart w:id="73" w:name="_GoBack"/>
            <w:bookmarkEnd w:id="73"/>
          </w:p>
        </w:tc>
        <w:tc>
          <w:tcPr>
            <w:tcW w:w="4802" w:type="dxa"/>
            <w:noWrap w:val="0"/>
            <w:vAlign w:val="top"/>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详见附件8：合同主要条款</w:t>
            </w:r>
          </w:p>
        </w:tc>
        <w:tc>
          <w:tcPr>
            <w:tcW w:w="1314"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before="223" w:line="576" w:lineRule="exact"/>
              <w:jc w:val="center"/>
              <w:textAlignment w:val="auto"/>
              <w:rPr>
                <w:rFonts w:hint="default" w:ascii="宋体" w:hAnsi="宋体" w:eastAsia="宋体" w:cs="宋体"/>
                <w:spacing w:val="8"/>
                <w:sz w:val="24"/>
                <w:szCs w:val="24"/>
                <w:u w:val="none" w:color="auto"/>
                <w:lang w:val="en-US" w:eastAsia="zh-CN"/>
              </w:rPr>
            </w:pPr>
            <w:r>
              <w:rPr>
                <w:rFonts w:hint="eastAsia" w:ascii="宋体" w:hAnsi="宋体" w:eastAsia="宋体" w:cs="宋体"/>
                <w:spacing w:val="8"/>
                <w:sz w:val="24"/>
                <w:szCs w:val="24"/>
                <w:u w:val="none" w:color="auto"/>
                <w:lang w:val="en-US" w:eastAsia="zh-CN"/>
              </w:rPr>
              <w:t>6</w:t>
            </w:r>
          </w:p>
        </w:tc>
        <w:tc>
          <w:tcPr>
            <w:tcW w:w="1667"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其他</w:t>
            </w:r>
          </w:p>
        </w:tc>
        <w:tc>
          <w:tcPr>
            <w:tcW w:w="4802"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无</w:t>
            </w:r>
          </w:p>
        </w:tc>
        <w:tc>
          <w:tcPr>
            <w:tcW w:w="1314" w:type="dxa"/>
            <w:noWrap w:val="0"/>
            <w:vAlign w:val="center"/>
          </w:tcPr>
          <w:p>
            <w:pPr>
              <w:shd w:val="clear" w:color="auto" w:fill="auto"/>
              <w:adjustRightInd w:val="0"/>
              <w:spacing w:line="320" w:lineRule="exact"/>
              <w:ind w:left="0" w:leftChars="0" w:right="0" w:rightChars="0" w:firstLine="0" w:firstLineChars="0"/>
              <w:jc w:val="center"/>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bl>
    <w:p>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pacing w:val="28"/>
          <w:sz w:val="24"/>
          <w:szCs w:val="24"/>
          <w:u w:val="none" w:color="auto"/>
        </w:rPr>
      </w:pPr>
    </w:p>
    <w:p>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z w:val="24"/>
          <w:szCs w:val="24"/>
          <w:u w:val="none" w:color="auto"/>
        </w:rPr>
      </w:pPr>
      <w:r>
        <w:rPr>
          <w:rFonts w:hint="eastAsia" w:ascii="宋体" w:hAnsi="宋体" w:eastAsia="宋体" w:cs="宋体"/>
          <w:spacing w:val="28"/>
          <w:sz w:val="24"/>
          <w:szCs w:val="24"/>
          <w:u w:val="none" w:color="auto"/>
        </w:rPr>
        <w:t>注</w:t>
      </w:r>
      <w:r>
        <w:rPr>
          <w:rFonts w:hint="eastAsia" w:ascii="宋体" w:hAnsi="宋体" w:eastAsia="宋体" w:cs="宋体"/>
          <w:spacing w:val="24"/>
          <w:sz w:val="24"/>
          <w:szCs w:val="24"/>
          <w:u w:val="none" w:color="auto"/>
        </w:rPr>
        <w:t xml:space="preserve"> </w:t>
      </w:r>
      <w:r>
        <w:rPr>
          <w:rFonts w:hint="eastAsia" w:ascii="宋体" w:hAnsi="宋体" w:eastAsia="宋体" w:cs="宋体"/>
          <w:spacing w:val="14"/>
          <w:sz w:val="24"/>
          <w:szCs w:val="24"/>
          <w:u w:val="none" w:color="auto"/>
        </w:rPr>
        <w:t>：</w:t>
      </w:r>
      <w:r>
        <w:rPr>
          <w:rFonts w:hint="eastAsia" w:ascii="宋体" w:hAnsi="宋体" w:eastAsia="宋体" w:cs="宋体"/>
          <w:spacing w:val="14"/>
          <w:sz w:val="24"/>
          <w:szCs w:val="24"/>
          <w:u w:val="none" w:color="auto"/>
          <w:lang w:eastAsia="zh-CN"/>
        </w:rPr>
        <w:t>投标人</w:t>
      </w:r>
      <w:r>
        <w:rPr>
          <w:rFonts w:hint="eastAsia" w:ascii="宋体" w:hAnsi="宋体" w:eastAsia="宋体" w:cs="宋体"/>
          <w:spacing w:val="14"/>
          <w:sz w:val="24"/>
          <w:szCs w:val="24"/>
          <w:u w:val="none" w:color="auto"/>
        </w:rPr>
        <w:t>必须据实填写 (备注中可注明正、负或无偏离) ，不得虚假响应，否则将</w:t>
      </w:r>
      <w:r>
        <w:rPr>
          <w:rFonts w:hint="eastAsia" w:ascii="宋体" w:hAnsi="宋体" w:eastAsia="宋体" w:cs="宋体"/>
          <w:spacing w:val="29"/>
          <w:sz w:val="24"/>
          <w:szCs w:val="24"/>
          <w:u w:val="none" w:color="auto"/>
        </w:rPr>
        <w:t>取</w:t>
      </w:r>
      <w:r>
        <w:rPr>
          <w:rFonts w:hint="eastAsia" w:ascii="宋体" w:hAnsi="宋体" w:eastAsia="宋体" w:cs="宋体"/>
          <w:spacing w:val="22"/>
          <w:sz w:val="24"/>
          <w:szCs w:val="24"/>
          <w:u w:val="none" w:color="auto"/>
        </w:rPr>
        <w:t>消其成交资格</w:t>
      </w:r>
      <w:r>
        <w:rPr>
          <w:rFonts w:hint="eastAsia" w:ascii="宋体" w:hAnsi="宋体" w:eastAsia="宋体" w:cs="宋体"/>
          <w:spacing w:val="21"/>
          <w:sz w:val="24"/>
          <w:szCs w:val="24"/>
          <w:u w:val="none" w:color="auto"/>
        </w:rPr>
        <w:t>。</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投标人</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6"/>
        <w:ind w:firstLine="472" w:firstLineChars="200"/>
        <w:rPr>
          <w:rFonts w:hint="eastAsia" w:ascii="宋体" w:hAnsi="宋体" w:eastAsia="宋体" w:cs="宋体"/>
          <w:spacing w:val="-2"/>
          <w:sz w:val="24"/>
          <w:szCs w:val="24"/>
          <w:u w:val="none" w:color="auto"/>
          <w:lang w:val="en-US" w:eastAsia="zh-CN"/>
        </w:rPr>
      </w:pPr>
    </w:p>
    <w:p>
      <w:pPr>
        <w:pStyle w:val="6"/>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hint="default"/>
          <w:lang w:val="en-US" w:eastAsia="zh-CN"/>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bookmarkStart w:id="0" w:name="_bookmark32"/>
      <w:bookmarkEnd w:id="0"/>
    </w:p>
    <w:p>
      <w:pPr>
        <w:pStyle w:val="6"/>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附件6：法定代表人身份证明</w:t>
      </w:r>
    </w:p>
    <w:p>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pPr>
        <w:pStyle w:val="6"/>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法定代表人身份证复印件粘贴（正面+反面）：</w:t>
      </w:r>
    </w:p>
    <w:p>
      <w:pPr>
        <w:pStyle w:val="10"/>
        <w:rPr>
          <w:rFonts w:hint="default"/>
          <w:lang w:val="en-US" w:eastAsia="zh-CN"/>
        </w:rPr>
      </w:pPr>
    </w:p>
    <w:p>
      <w:pP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br w:type="page"/>
      </w:r>
    </w:p>
    <w:p>
      <w:pPr>
        <w:pStyle w:val="6"/>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附件7：授权委托书模版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江油市李白故居文化旅游开发有限公司：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“江油大剧院三楼剧场舞台机械改造项目” 项目比选活动的合法代表，以我方名义全权处理该项目有关竞标、签订合同以及执行合同等一切事宜。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pPr>
        <w:keepNext w:val="0"/>
        <w:keepLines w:val="0"/>
        <w:pageBreakBefore w:val="0"/>
        <w:kinsoku/>
        <w:wordWrap/>
        <w:overflowPunct/>
        <w:topLinePunct w:val="0"/>
        <w:autoSpaceDE/>
        <w:autoSpaceDN/>
        <w:bidi w:val="0"/>
        <w:adjustRightInd/>
        <w:snapToGrid/>
        <w:spacing w:line="512" w:lineRule="exact"/>
        <w:textAlignment w:val="auto"/>
      </w:pPr>
    </w:p>
    <w:p>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pPr>
        <w:pStyle w:val="6"/>
        <w:rPr>
          <w:rFonts w:hint="eastAsia" w:ascii="宋体" w:hAnsi="宋体" w:eastAsia="宋体" w:cs="宋体"/>
          <w:spacing w:val="17"/>
          <w:sz w:val="28"/>
          <w:szCs w:val="28"/>
          <w:u w:val="none" w:color="auto"/>
        </w:rPr>
      </w:pPr>
    </w:p>
    <w:p>
      <w:pPr>
        <w:rPr>
          <w:rFonts w:hint="eastAsia" w:ascii="宋体" w:hAnsi="宋体" w:eastAsia="宋体" w:cs="宋体"/>
          <w:spacing w:val="17"/>
          <w:sz w:val="28"/>
          <w:szCs w:val="28"/>
          <w:u w:val="none" w:color="auto"/>
        </w:rPr>
      </w:pPr>
    </w:p>
    <w:p>
      <w:pPr>
        <w:rPr>
          <w:rFonts w:hint="default"/>
          <w:lang w:val="en-US" w:eastAsia="zh-CN"/>
        </w:rPr>
        <w:sectPr>
          <w:pgSz w:w="11906" w:h="16838"/>
          <w:pgMar w:top="1440" w:right="1134" w:bottom="1440" w:left="1134"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附件8：合同主要条款</w:t>
      </w: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outlineLvl w:val="0"/>
        <w:rPr>
          <w:rFonts w:hint="eastAsia" w:ascii="仿宋" w:hAnsi="仿宋" w:eastAsia="仿宋" w:cs="仿宋"/>
          <w:b/>
          <w:bCs/>
          <w:color w:val="auto"/>
          <w:kern w:val="44"/>
          <w:sz w:val="44"/>
          <w:szCs w:val="44"/>
          <w:lang w:val="en-US" w:eastAsia="zh-CN" w:bidi="ar-SA"/>
        </w:rPr>
      </w:pPr>
      <w:r>
        <w:rPr>
          <w:rFonts w:hint="eastAsia" w:ascii="仿宋" w:hAnsi="仿宋" w:eastAsia="仿宋" w:cs="仿宋"/>
          <w:b/>
          <w:bCs/>
          <w:color w:val="auto"/>
          <w:kern w:val="44"/>
          <w:sz w:val="44"/>
          <w:szCs w:val="44"/>
          <w:lang w:val="en-US" w:eastAsia="zh-CN" w:bidi="ar-SA"/>
        </w:rPr>
        <w:t>江油大剧院三楼剧场舞台机械改造项目</w:t>
      </w: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outlineLvl w:val="0"/>
        <w:rPr>
          <w:rFonts w:hint="eastAsia" w:ascii="仿宋" w:hAnsi="仿宋" w:eastAsia="仿宋" w:cs="仿宋"/>
          <w:b/>
          <w:bCs/>
          <w:color w:val="auto"/>
          <w:sz w:val="48"/>
          <w:szCs w:val="48"/>
        </w:rPr>
      </w:pPr>
      <w:r>
        <w:rPr>
          <w:rFonts w:hint="eastAsia" w:ascii="仿宋" w:hAnsi="仿宋" w:eastAsia="仿宋" w:cs="仿宋"/>
          <w:b/>
          <w:bCs/>
          <w:color w:val="auto"/>
          <w:kern w:val="44"/>
          <w:sz w:val="44"/>
          <w:szCs w:val="44"/>
          <w:lang w:val="en-US" w:eastAsia="zh-CN" w:bidi="ar-SA"/>
        </w:rPr>
        <w:t>合同书</w:t>
      </w:r>
    </w:p>
    <w:p>
      <w:pPr>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签订地点：</w:t>
      </w:r>
    </w:p>
    <w:p>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签订时间：</w:t>
      </w:r>
      <w:r>
        <w:rPr>
          <w:rFonts w:hint="eastAsia" w:ascii="仿宋" w:hAnsi="仿宋" w:eastAsia="仿宋" w:cs="仿宋"/>
          <w:color w:val="auto"/>
          <w:sz w:val="28"/>
          <w:szCs w:val="28"/>
          <w:lang w:val="en-US" w:eastAsia="zh-CN"/>
        </w:rPr>
        <w:t>2024</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日</w:t>
      </w:r>
    </w:p>
    <w:p>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 xml:space="preserve">采购人（甲方）：                             </w:t>
      </w:r>
    </w:p>
    <w:p>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 xml:space="preserve">供应商（乙方）：                            </w:t>
      </w:r>
      <w:r>
        <w:rPr>
          <w:rFonts w:hint="eastAsia" w:ascii="仿宋" w:hAnsi="仿宋" w:eastAsia="仿宋" w:cs="仿宋"/>
          <w:color w:val="auto"/>
          <w:sz w:val="22"/>
          <w:szCs w:val="28"/>
        </w:rPr>
        <w:t xml:space="preserve">                                       </w:t>
      </w:r>
    </w:p>
    <w:p>
      <w:pPr>
        <w:spacing w:line="400" w:lineRule="exact"/>
        <w:rPr>
          <w:rFonts w:hint="eastAsia" w:ascii="仿宋" w:hAnsi="仿宋" w:eastAsia="仿宋" w:cs="仿宋"/>
          <w:color w:val="auto"/>
          <w:sz w:val="28"/>
          <w:szCs w:val="28"/>
        </w:rPr>
      </w:pP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根据《中华人民共和国</w:t>
      </w:r>
      <w:r>
        <w:rPr>
          <w:rFonts w:hint="eastAsia" w:ascii="仿宋" w:hAnsi="仿宋" w:eastAsia="仿宋" w:cs="仿宋"/>
          <w:color w:val="auto"/>
          <w:sz w:val="28"/>
          <w:szCs w:val="28"/>
          <w:lang w:eastAsia="zh-CN"/>
        </w:rPr>
        <w:t>民法典</w:t>
      </w:r>
      <w:r>
        <w:rPr>
          <w:rFonts w:hint="eastAsia" w:ascii="仿宋" w:hAnsi="仿宋" w:eastAsia="仿宋" w:cs="仿宋"/>
          <w:color w:val="auto"/>
          <w:sz w:val="28"/>
          <w:szCs w:val="28"/>
        </w:rPr>
        <w:t>》，甲、乙双方同意签订本合同，双方同意共同遵守如下条款：</w:t>
      </w:r>
    </w:p>
    <w:p>
      <w:pPr>
        <w:pStyle w:val="4"/>
        <w:spacing w:line="400" w:lineRule="exact"/>
        <w:ind w:firstLine="562" w:firstLineChars="200"/>
        <w:rPr>
          <w:rFonts w:hint="eastAsia" w:ascii="仿宋" w:hAnsi="仿宋" w:eastAsia="仿宋" w:cs="仿宋"/>
          <w:color w:val="auto"/>
          <w:sz w:val="28"/>
          <w:szCs w:val="28"/>
        </w:rPr>
      </w:pPr>
      <w:bookmarkStart w:id="1" w:name="_Toc471310434"/>
      <w:bookmarkStart w:id="2" w:name="_Toc22748"/>
      <w:bookmarkStart w:id="3" w:name="_Toc5847"/>
      <w:bookmarkStart w:id="4" w:name="_Toc4563"/>
      <w:bookmarkStart w:id="5" w:name="_Toc16784"/>
      <w:bookmarkStart w:id="6" w:name="_Toc217446107"/>
      <w:bookmarkStart w:id="7" w:name="_Toc17369"/>
      <w:bookmarkStart w:id="8" w:name="_Toc7099"/>
      <w:r>
        <w:rPr>
          <w:rFonts w:hint="eastAsia" w:ascii="仿宋" w:hAnsi="仿宋" w:eastAsia="仿宋" w:cs="仿宋"/>
          <w:color w:val="auto"/>
          <w:sz w:val="28"/>
          <w:szCs w:val="28"/>
        </w:rPr>
        <w:t>一、合同货物</w:t>
      </w:r>
      <w:bookmarkEnd w:id="1"/>
      <w:bookmarkEnd w:id="2"/>
      <w:bookmarkEnd w:id="3"/>
      <w:bookmarkEnd w:id="4"/>
      <w:bookmarkEnd w:id="5"/>
      <w:bookmarkEnd w:id="6"/>
      <w:bookmarkEnd w:id="7"/>
      <w:bookmarkEnd w:id="8"/>
    </w:p>
    <w:tbl>
      <w:tblPr>
        <w:tblStyle w:val="11"/>
        <w:tblW w:w="9451"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65"/>
        <w:gridCol w:w="1483"/>
        <w:gridCol w:w="1729"/>
        <w:gridCol w:w="690"/>
        <w:gridCol w:w="579"/>
        <w:gridCol w:w="1320"/>
        <w:gridCol w:w="1298"/>
        <w:gridCol w:w="1102"/>
        <w:gridCol w:w="5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4"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bCs/>
                <w:sz w:val="21"/>
                <w:szCs w:val="24"/>
                <w:lang w:val="en-US" w:eastAsia="zh-CN"/>
              </w:rPr>
            </w:pPr>
            <w:bookmarkStart w:id="9" w:name="_Toc7151"/>
            <w:bookmarkStart w:id="10" w:name="_Toc11555"/>
            <w:bookmarkStart w:id="11" w:name="_Toc7364"/>
            <w:bookmarkStart w:id="12" w:name="_Toc3508"/>
            <w:bookmarkStart w:id="13" w:name="_Toc29585"/>
            <w:bookmarkStart w:id="14" w:name="_Toc471310435"/>
            <w:bookmarkStart w:id="15" w:name="_Toc11081"/>
            <w:bookmarkStart w:id="16" w:name="_Toc217446108"/>
            <w:r>
              <w:rPr>
                <w:rFonts w:hint="eastAsia" w:ascii="仿宋" w:hAnsi="仿宋" w:eastAsia="仿宋" w:cs="仿宋"/>
                <w:b/>
                <w:bCs/>
                <w:sz w:val="21"/>
                <w:szCs w:val="24"/>
                <w:lang w:val="en-US" w:eastAsia="zh-CN"/>
              </w:rPr>
              <w:t>序号</w:t>
            </w:r>
          </w:p>
        </w:tc>
        <w:tc>
          <w:tcPr>
            <w:tcW w:w="1483"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bCs/>
                <w:sz w:val="21"/>
                <w:szCs w:val="24"/>
                <w:lang w:val="en-US" w:eastAsia="zh-CN"/>
              </w:rPr>
            </w:pPr>
            <w:r>
              <w:rPr>
                <w:rFonts w:hint="eastAsia" w:ascii="仿宋" w:hAnsi="仿宋" w:eastAsia="仿宋" w:cs="仿宋"/>
                <w:b/>
                <w:bCs/>
                <w:sz w:val="21"/>
                <w:szCs w:val="24"/>
                <w:lang w:val="en-US" w:eastAsia="zh-CN"/>
              </w:rPr>
              <w:t>大类名称</w:t>
            </w: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bCs/>
                <w:sz w:val="21"/>
                <w:szCs w:val="24"/>
                <w:lang w:val="en-US" w:eastAsia="zh-CN"/>
              </w:rPr>
            </w:pPr>
            <w:r>
              <w:rPr>
                <w:rFonts w:hint="eastAsia" w:ascii="仿宋" w:hAnsi="仿宋" w:eastAsia="仿宋" w:cs="仿宋"/>
                <w:b/>
                <w:bCs/>
                <w:sz w:val="21"/>
                <w:szCs w:val="24"/>
                <w:lang w:val="en-US" w:eastAsia="zh-CN"/>
              </w:rPr>
              <w:t>小类名称</w:t>
            </w: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bCs/>
                <w:sz w:val="21"/>
                <w:szCs w:val="24"/>
                <w:lang w:val="en-US" w:eastAsia="zh-CN"/>
              </w:rPr>
            </w:pPr>
            <w:r>
              <w:rPr>
                <w:rFonts w:hint="eastAsia" w:ascii="仿宋" w:hAnsi="仿宋" w:eastAsia="仿宋" w:cs="仿宋"/>
                <w:b/>
                <w:bCs/>
                <w:sz w:val="21"/>
                <w:szCs w:val="24"/>
                <w:lang w:val="en-US" w:eastAsia="zh-CN"/>
              </w:rPr>
              <w:t>数量</w:t>
            </w: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bCs/>
                <w:sz w:val="21"/>
                <w:szCs w:val="24"/>
                <w:lang w:val="en-US" w:eastAsia="zh-CN"/>
              </w:rPr>
            </w:pPr>
            <w:r>
              <w:rPr>
                <w:rFonts w:hint="eastAsia" w:ascii="仿宋" w:hAnsi="仿宋" w:eastAsia="仿宋" w:cs="仿宋"/>
                <w:b/>
                <w:bCs/>
                <w:sz w:val="21"/>
                <w:szCs w:val="24"/>
                <w:lang w:val="en-US" w:eastAsia="zh-CN"/>
              </w:rPr>
              <w:t>单位</w:t>
            </w: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bCs/>
                <w:sz w:val="21"/>
                <w:szCs w:val="24"/>
                <w:lang w:val="en-US" w:eastAsia="zh-CN"/>
              </w:rPr>
            </w:pPr>
            <w:r>
              <w:rPr>
                <w:rFonts w:hint="eastAsia" w:ascii="仿宋" w:hAnsi="仿宋" w:eastAsia="仿宋" w:cs="仿宋"/>
                <w:b/>
                <w:bCs/>
                <w:sz w:val="21"/>
                <w:szCs w:val="24"/>
                <w:lang w:val="en-US" w:eastAsia="zh-CN"/>
              </w:rPr>
              <w:t>单价（元）</w:t>
            </w: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bCs/>
                <w:sz w:val="21"/>
                <w:szCs w:val="24"/>
                <w:lang w:val="en-US" w:eastAsia="zh-CN"/>
              </w:rPr>
            </w:pPr>
            <w:r>
              <w:rPr>
                <w:rFonts w:hint="eastAsia" w:ascii="仿宋" w:hAnsi="仿宋" w:eastAsia="仿宋" w:cs="仿宋"/>
                <w:b/>
                <w:bCs/>
                <w:sz w:val="21"/>
                <w:szCs w:val="24"/>
                <w:lang w:val="en-US" w:eastAsia="zh-CN"/>
              </w:rPr>
              <w:t>复价（元）</w:t>
            </w: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bCs/>
                <w:sz w:val="21"/>
                <w:szCs w:val="24"/>
                <w:lang w:val="en-US" w:eastAsia="zh-CN"/>
              </w:rPr>
            </w:pPr>
            <w:r>
              <w:rPr>
                <w:rFonts w:hint="eastAsia" w:ascii="仿宋" w:hAnsi="仿宋" w:eastAsia="仿宋" w:cs="仿宋"/>
                <w:b/>
                <w:bCs/>
                <w:sz w:val="21"/>
                <w:szCs w:val="24"/>
                <w:lang w:val="en-US" w:eastAsia="zh-CN"/>
              </w:rPr>
              <w:t>品牌名称</w:t>
            </w: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bCs/>
                <w:sz w:val="21"/>
                <w:szCs w:val="24"/>
                <w:lang w:val="en-US" w:eastAsia="zh-CN"/>
              </w:rPr>
            </w:pPr>
            <w:r>
              <w:rPr>
                <w:rFonts w:hint="eastAsia" w:ascii="仿宋" w:hAnsi="仿宋" w:eastAsia="仿宋" w:cs="仿宋"/>
                <w:b/>
                <w:bCs/>
                <w:sz w:val="21"/>
                <w:szCs w:val="24"/>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4"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483" w:type="dxa"/>
            <w:vMerge w:val="restart"/>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17"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483" w:type="dxa"/>
            <w:vMerge w:val="continue"/>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1"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483" w:type="dxa"/>
            <w:vMerge w:val="continue"/>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483" w:type="dxa"/>
            <w:vMerge w:val="continue"/>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1"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483"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4"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483"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84"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483"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1" w:hRule="atLeast"/>
          <w:tblCellSpacing w:w="0" w:type="dxa"/>
          <w:jc w:val="center"/>
        </w:trPr>
        <w:tc>
          <w:tcPr>
            <w:tcW w:w="66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483"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72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69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579"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1320"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default" w:ascii="仿宋" w:hAnsi="仿宋" w:eastAsia="仿宋" w:cs="仿宋"/>
                <w:b w:val="0"/>
                <w:bCs w:val="0"/>
                <w:sz w:val="21"/>
                <w:szCs w:val="24"/>
                <w:lang w:val="en-US" w:eastAsia="zh-CN"/>
              </w:rPr>
            </w:pPr>
          </w:p>
        </w:tc>
        <w:tc>
          <w:tcPr>
            <w:tcW w:w="1298"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default" w:ascii="仿宋" w:hAnsi="仿宋" w:eastAsia="仿宋" w:cs="仿宋"/>
                <w:b w:val="0"/>
                <w:bCs w:val="0"/>
                <w:sz w:val="21"/>
                <w:szCs w:val="24"/>
                <w:lang w:val="en-US" w:eastAsia="zh-CN"/>
              </w:rPr>
            </w:pPr>
          </w:p>
        </w:tc>
        <w:tc>
          <w:tcPr>
            <w:tcW w:w="1102"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c>
          <w:tcPr>
            <w:tcW w:w="585" w:type="dxa"/>
            <w:tcBorders>
              <w:top w:val="single" w:color="080000" w:sz="4" w:space="0"/>
              <w:left w:val="single" w:color="080000" w:sz="4" w:space="0"/>
              <w:bottom w:val="single" w:color="080000" w:sz="4" w:space="0"/>
              <w:right w:val="single" w:color="080000" w:sz="4" w:space="0"/>
            </w:tcBorders>
            <w:shd w:val="clear" w:color="auto" w:fill="auto"/>
            <w:tcMar>
              <w:left w:w="108" w:type="dxa"/>
              <w:right w:w="108" w:type="dxa"/>
            </w:tcMar>
            <w:vAlign w:val="center"/>
          </w:tcPr>
          <w:p>
            <w:pPr>
              <w:jc w:val="both"/>
              <w:rPr>
                <w:rFonts w:hint="eastAsia" w:ascii="仿宋" w:hAnsi="仿宋" w:eastAsia="仿宋" w:cs="仿宋"/>
                <w:b w:val="0"/>
                <w:bCs w:val="0"/>
                <w:sz w:val="21"/>
                <w:szCs w:val="24"/>
                <w:lang w:val="en-US" w:eastAsia="zh-CN"/>
              </w:rPr>
            </w:pPr>
          </w:p>
        </w:tc>
      </w:tr>
    </w:tbl>
    <w:p>
      <w:pPr>
        <w:rPr>
          <w:rFonts w:hint="eastAsia" w:ascii="仿宋" w:hAnsi="仿宋" w:eastAsia="仿宋" w:cs="仿宋"/>
          <w:color w:val="auto"/>
          <w:sz w:val="28"/>
          <w:szCs w:val="28"/>
        </w:rPr>
      </w:pPr>
      <w:r>
        <w:rPr>
          <w:rFonts w:hint="eastAsia" w:ascii="仿宋" w:hAnsi="仿宋" w:eastAsia="仿宋" w:cs="仿宋"/>
          <w:color w:val="auto"/>
          <w:sz w:val="28"/>
          <w:szCs w:val="28"/>
        </w:rPr>
        <w:br w:type="page"/>
      </w:r>
    </w:p>
    <w:p>
      <w:pPr>
        <w:pStyle w:val="4"/>
        <w:spacing w:line="400" w:lineRule="exact"/>
        <w:ind w:firstLine="562" w:firstLineChars="200"/>
        <w:rPr>
          <w:rFonts w:hint="eastAsia" w:ascii="仿宋" w:hAnsi="仿宋" w:eastAsia="仿宋" w:cs="仿宋"/>
          <w:color w:val="auto"/>
          <w:sz w:val="28"/>
          <w:szCs w:val="28"/>
        </w:rPr>
      </w:pPr>
      <w:r>
        <w:rPr>
          <w:rFonts w:hint="eastAsia" w:ascii="仿宋" w:hAnsi="仿宋" w:eastAsia="仿宋" w:cs="仿宋"/>
          <w:color w:val="auto"/>
          <w:sz w:val="28"/>
          <w:szCs w:val="28"/>
        </w:rPr>
        <w:t>二、合同总价</w:t>
      </w:r>
      <w:bookmarkEnd w:id="9"/>
      <w:bookmarkEnd w:id="10"/>
      <w:bookmarkEnd w:id="11"/>
      <w:bookmarkEnd w:id="12"/>
      <w:bookmarkEnd w:id="13"/>
      <w:bookmarkEnd w:id="14"/>
      <w:bookmarkEnd w:id="15"/>
      <w:bookmarkEnd w:id="16"/>
    </w:p>
    <w:p>
      <w:pPr>
        <w:pStyle w:val="5"/>
        <w:spacing w:line="400" w:lineRule="exact"/>
        <w:ind w:firstLineChars="175"/>
        <w:rPr>
          <w:rFonts w:hint="eastAsia" w:ascii="仿宋" w:hAnsi="仿宋" w:eastAsia="仿宋" w:cs="仿宋"/>
          <w:color w:val="auto"/>
          <w:sz w:val="28"/>
          <w:szCs w:val="28"/>
        </w:rPr>
      </w:pPr>
      <w:r>
        <w:rPr>
          <w:rFonts w:hint="eastAsia" w:ascii="仿宋" w:hAnsi="仿宋" w:eastAsia="仿宋" w:cs="仿宋"/>
          <w:color w:val="auto"/>
          <w:sz w:val="28"/>
          <w:szCs w:val="28"/>
        </w:rPr>
        <w:t>合同总价为人民币大写：</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rPr>
        <w:t>元，即RMB￥</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元；该合同总价已包括货物设计、材料、制造、包装、运输、安装、调试、检测、验收合格交付使用之前及保修期内保修服务与备用物件等等所有其他有关各项的含税费用。本合同执行期间合同总价不变，甲方无须另向乙方支付本合同规定之外的其他任何费用。</w:t>
      </w:r>
    </w:p>
    <w:p>
      <w:pPr>
        <w:pStyle w:val="4"/>
        <w:spacing w:line="400" w:lineRule="exact"/>
        <w:ind w:firstLine="562" w:firstLineChars="200"/>
        <w:rPr>
          <w:rFonts w:hint="eastAsia" w:ascii="仿宋" w:hAnsi="仿宋" w:eastAsia="仿宋" w:cs="仿宋"/>
          <w:color w:val="auto"/>
          <w:sz w:val="28"/>
          <w:szCs w:val="28"/>
        </w:rPr>
      </w:pPr>
      <w:bookmarkStart w:id="17" w:name="_Toc471310436"/>
      <w:bookmarkStart w:id="18" w:name="_Toc217446109"/>
      <w:bookmarkStart w:id="19" w:name="_Toc4148"/>
      <w:bookmarkStart w:id="20" w:name="_Toc20238"/>
      <w:bookmarkStart w:id="21" w:name="_Toc22808"/>
      <w:bookmarkStart w:id="22" w:name="_Toc13035"/>
      <w:bookmarkStart w:id="23" w:name="_Toc17717"/>
      <w:bookmarkStart w:id="24" w:name="_Toc26884"/>
      <w:r>
        <w:rPr>
          <w:rFonts w:hint="eastAsia" w:ascii="仿宋" w:hAnsi="仿宋" w:eastAsia="仿宋" w:cs="仿宋"/>
          <w:color w:val="auto"/>
          <w:sz w:val="28"/>
          <w:szCs w:val="28"/>
        </w:rPr>
        <w:t>三、质量要求</w:t>
      </w:r>
      <w:bookmarkEnd w:id="17"/>
      <w:bookmarkEnd w:id="18"/>
      <w:bookmarkEnd w:id="19"/>
      <w:bookmarkEnd w:id="20"/>
      <w:bookmarkEnd w:id="21"/>
      <w:bookmarkEnd w:id="22"/>
      <w:bookmarkEnd w:id="23"/>
      <w:bookmarkEnd w:id="24"/>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1、乙方须提供全新的货物（含零部件、配件等），表面无划伤、无碰撞痕迹，且权属清楚，不得侵害他人的知识产权。</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2、货物必须符合或优于国家（行业）标准，以及本项目竞争性磋商文件的质量要求和技术指标与出厂标准。</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、货物制造质量出现问题，乙方应负责三包（包修、包换、包退），费用由乙方负担，甲方有权到乙方生产场地检查货物质量和生产进度。</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、货到现场后由于甲方保管不当造成的质量问题，乙方亦应负责修理，但费用由甲方负担。</w:t>
      </w:r>
    </w:p>
    <w:p>
      <w:pPr>
        <w:pStyle w:val="4"/>
        <w:spacing w:line="400" w:lineRule="exact"/>
        <w:ind w:firstLine="562" w:firstLineChars="200"/>
        <w:rPr>
          <w:rFonts w:hint="eastAsia" w:ascii="仿宋" w:hAnsi="仿宋" w:eastAsia="仿宋" w:cs="仿宋"/>
          <w:color w:val="auto"/>
          <w:sz w:val="28"/>
          <w:szCs w:val="28"/>
        </w:rPr>
      </w:pPr>
      <w:bookmarkStart w:id="25" w:name="_Toc21792"/>
      <w:bookmarkStart w:id="26" w:name="_Toc217446110"/>
      <w:bookmarkStart w:id="27" w:name="_Toc471310437"/>
      <w:bookmarkStart w:id="28" w:name="_Toc28012"/>
      <w:bookmarkStart w:id="29" w:name="_Toc543"/>
      <w:bookmarkStart w:id="30" w:name="_Toc14930"/>
      <w:bookmarkStart w:id="31" w:name="_Toc9749"/>
      <w:bookmarkStart w:id="32" w:name="_Toc17123"/>
      <w:r>
        <w:rPr>
          <w:rFonts w:hint="eastAsia" w:ascii="仿宋" w:hAnsi="仿宋" w:eastAsia="仿宋" w:cs="仿宋"/>
          <w:color w:val="auto"/>
          <w:sz w:val="28"/>
          <w:szCs w:val="28"/>
        </w:rPr>
        <w:t>四、交货及验收</w:t>
      </w:r>
      <w:bookmarkEnd w:id="25"/>
      <w:bookmarkEnd w:id="26"/>
      <w:bookmarkEnd w:id="27"/>
      <w:bookmarkEnd w:id="28"/>
      <w:bookmarkEnd w:id="29"/>
      <w:bookmarkEnd w:id="30"/>
      <w:bookmarkEnd w:id="31"/>
      <w:bookmarkEnd w:id="32"/>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1、乙方交货期限为合同签订生效后的</w:t>
      </w:r>
      <w:r>
        <w:rPr>
          <w:rFonts w:hint="eastAsia" w:ascii="仿宋" w:hAnsi="仿宋" w:eastAsia="仿宋" w:cs="仿宋"/>
          <w:color w:val="auto"/>
          <w:sz w:val="28"/>
          <w:szCs w:val="22"/>
          <w:u w:val="single"/>
          <w:lang w:val="en-US" w:eastAsia="zh-CN"/>
        </w:rPr>
        <w:t>45</w:t>
      </w:r>
      <w:r>
        <w:rPr>
          <w:rFonts w:hint="eastAsia" w:ascii="仿宋" w:hAnsi="仿宋" w:eastAsia="仿宋" w:cs="仿宋"/>
          <w:color w:val="auto"/>
          <w:sz w:val="28"/>
          <w:szCs w:val="28"/>
        </w:rPr>
        <w:t>日内，在合同签订生效之日起</w:t>
      </w:r>
      <w:r>
        <w:rPr>
          <w:rFonts w:hint="eastAsia" w:ascii="仿宋" w:hAnsi="仿宋" w:eastAsia="仿宋" w:cs="仿宋"/>
          <w:color w:val="auto"/>
          <w:sz w:val="28"/>
          <w:szCs w:val="22"/>
          <w:u w:val="single"/>
          <w:lang w:val="en-US" w:eastAsia="zh-CN"/>
        </w:rPr>
        <w:t>30</w:t>
      </w:r>
      <w:r>
        <w:rPr>
          <w:rFonts w:hint="eastAsia" w:ascii="仿宋" w:hAnsi="仿宋" w:eastAsia="仿宋" w:cs="仿宋"/>
          <w:color w:val="auto"/>
          <w:sz w:val="28"/>
          <w:szCs w:val="28"/>
        </w:rPr>
        <w:t>天内交货到</w:t>
      </w:r>
      <w:r>
        <w:rPr>
          <w:rFonts w:hint="eastAsia" w:ascii="仿宋" w:hAnsi="仿宋" w:eastAsia="仿宋" w:cs="仿宋"/>
          <w:color w:val="0000FF"/>
          <w:sz w:val="28"/>
          <w:szCs w:val="28"/>
        </w:rPr>
        <w:t>甲方指定地点</w:t>
      </w:r>
      <w:r>
        <w:rPr>
          <w:rFonts w:hint="eastAsia" w:ascii="仿宋" w:hAnsi="仿宋" w:eastAsia="仿宋" w:cs="仿宋"/>
          <w:color w:val="auto"/>
          <w:sz w:val="28"/>
          <w:szCs w:val="28"/>
        </w:rPr>
        <w:t>，随即在</w:t>
      </w:r>
      <w:r>
        <w:rPr>
          <w:rFonts w:hint="eastAsia" w:ascii="仿宋" w:hAnsi="仿宋" w:eastAsia="仿宋" w:cs="仿宋"/>
          <w:color w:val="auto"/>
          <w:sz w:val="28"/>
          <w:szCs w:val="22"/>
          <w:u w:val="single"/>
          <w:lang w:val="en-US" w:eastAsia="zh-CN"/>
        </w:rPr>
        <w:t>15</w:t>
      </w:r>
      <w:r>
        <w:rPr>
          <w:rFonts w:hint="eastAsia" w:ascii="仿宋" w:hAnsi="仿宋" w:eastAsia="仿宋" w:cs="仿宋"/>
          <w:color w:val="auto"/>
          <w:sz w:val="28"/>
          <w:szCs w:val="28"/>
        </w:rPr>
        <w:t>日内全部完成安装调试验收合格交付使用，并且最迟应在</w:t>
      </w:r>
      <w:r>
        <w:rPr>
          <w:rFonts w:hint="eastAsia" w:ascii="仿宋" w:hAnsi="仿宋" w:eastAsia="仿宋" w:cs="仿宋"/>
          <w:color w:val="auto"/>
          <w:sz w:val="28"/>
          <w:szCs w:val="22"/>
          <w:u w:val="single"/>
          <w:lang w:val="en-US" w:eastAsia="zh-CN"/>
        </w:rPr>
        <w:t>2024</w:t>
      </w:r>
      <w:r>
        <w:rPr>
          <w:rFonts w:hint="eastAsia" w:ascii="仿宋" w:hAnsi="仿宋" w:eastAsia="仿宋" w:cs="仿宋"/>
          <w:color w:val="auto"/>
          <w:sz w:val="28"/>
          <w:szCs w:val="28"/>
        </w:rPr>
        <w:t>年</w:t>
      </w:r>
      <w:r>
        <w:rPr>
          <w:rFonts w:hint="eastAsia" w:ascii="仿宋" w:hAnsi="仿宋" w:eastAsia="仿宋" w:cs="仿宋"/>
          <w:color w:val="auto"/>
          <w:sz w:val="28"/>
          <w:szCs w:val="22"/>
          <w:u w:val="single"/>
          <w:lang w:val="en-US" w:eastAsia="zh-CN"/>
        </w:rPr>
        <w:t>XX</w:t>
      </w:r>
      <w:r>
        <w:rPr>
          <w:rFonts w:hint="eastAsia" w:ascii="仿宋" w:hAnsi="仿宋" w:eastAsia="仿宋" w:cs="仿宋"/>
          <w:color w:val="auto"/>
          <w:sz w:val="28"/>
          <w:szCs w:val="28"/>
        </w:rPr>
        <w:t>月</w:t>
      </w:r>
      <w:r>
        <w:rPr>
          <w:rFonts w:hint="eastAsia" w:ascii="仿宋" w:hAnsi="仿宋" w:eastAsia="仿宋" w:cs="仿宋"/>
          <w:color w:val="auto"/>
          <w:sz w:val="28"/>
          <w:szCs w:val="22"/>
          <w:u w:val="single"/>
          <w:lang w:val="en-US" w:eastAsia="zh-CN"/>
        </w:rPr>
        <w:t>XX</w:t>
      </w:r>
      <w:r>
        <w:rPr>
          <w:rFonts w:hint="eastAsia" w:ascii="仿宋" w:hAnsi="仿宋" w:eastAsia="仿宋" w:cs="仿宋"/>
          <w:color w:val="auto"/>
          <w:sz w:val="28"/>
          <w:szCs w:val="28"/>
        </w:rPr>
        <w:t>日前全部完成安装调试验收合格交付使用(如由于采购人的原因造成合同延迟签订或验收的，时间顺延</w:t>
      </w:r>
      <w:r>
        <w:rPr>
          <w:rFonts w:hint="eastAsia" w:ascii="仿宋" w:hAnsi="仿宋" w:eastAsia="仿宋" w:cs="仿宋"/>
          <w:color w:val="auto"/>
          <w:sz w:val="28"/>
          <w:szCs w:val="28"/>
          <w:lang w:val="en-US" w:eastAsia="zh-CN"/>
        </w:rPr>
        <w:t>.</w:t>
      </w:r>
      <w:r>
        <w:rPr>
          <w:rFonts w:hint="eastAsia" w:ascii="仿宋" w:hAnsi="仿宋" w:eastAsia="仿宋" w:cs="仿宋"/>
          <w:color w:val="FF0000"/>
          <w:sz w:val="28"/>
          <w:szCs w:val="28"/>
          <w:lang w:val="en-US" w:eastAsia="zh-CN"/>
        </w:rPr>
        <w:t>另外进入现场施工时间以江油大剧院演出安排为基础，双方协商确定</w:t>
      </w:r>
      <w:r>
        <w:rPr>
          <w:rFonts w:hint="eastAsia" w:ascii="仿宋" w:hAnsi="仿宋" w:eastAsia="仿宋" w:cs="仿宋"/>
          <w:color w:val="auto"/>
          <w:sz w:val="28"/>
          <w:szCs w:val="28"/>
        </w:rPr>
        <w:t>)。</w:t>
      </w:r>
    </w:p>
    <w:p>
      <w:pPr>
        <w:pStyle w:val="23"/>
        <w:ind w:firstLine="480"/>
        <w:rPr>
          <w:rFonts w:hint="default" w:ascii="仿宋" w:hAnsi="仿宋" w:eastAsia="仿宋" w:cs="仿宋"/>
          <w:color w:val="auto"/>
          <w:sz w:val="28"/>
          <w:szCs w:val="28"/>
          <w:lang w:val="en-US" w:eastAsia="zh-Hans"/>
        </w:rPr>
      </w:pPr>
      <w:r>
        <w:rPr>
          <w:rFonts w:hint="eastAsia" w:ascii="仿宋" w:hAnsi="仿宋" w:eastAsia="仿宋" w:cs="仿宋"/>
          <w:color w:val="auto"/>
          <w:sz w:val="28"/>
          <w:szCs w:val="28"/>
          <w:lang w:val="en-US" w:eastAsia="zh-Hans"/>
        </w:rPr>
        <w:t>建议直接对甲方指定地点进行明确，下同。</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2、验收由甲方组织，乙方配合进行：</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(1) 货物在乙方通知安装调试完毕后进入试用期</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试用期时间为</w:t>
      </w:r>
      <w:r>
        <w:rPr>
          <w:rFonts w:hint="eastAsia" w:ascii="仿宋" w:hAnsi="仿宋" w:eastAsia="仿宋" w:cs="仿宋"/>
          <w:color w:val="auto"/>
          <w:sz w:val="28"/>
          <w:szCs w:val="28"/>
          <w:u w:val="single"/>
          <w:lang w:val="en-US" w:eastAsia="zh-CN"/>
        </w:rPr>
        <w:t xml:space="preserve"> 10 </w:t>
      </w:r>
      <w:r>
        <w:rPr>
          <w:rFonts w:hint="eastAsia" w:ascii="仿宋" w:hAnsi="仿宋" w:eastAsia="仿宋" w:cs="仿宋"/>
          <w:color w:val="auto"/>
          <w:sz w:val="28"/>
          <w:szCs w:val="28"/>
          <w:lang w:val="en-US" w:eastAsia="zh-CN"/>
        </w:rPr>
        <w:t>日</w:t>
      </w:r>
      <w:r>
        <w:rPr>
          <w:rFonts w:hint="eastAsia" w:ascii="仿宋" w:hAnsi="仿宋" w:eastAsia="仿宋" w:cs="仿宋"/>
          <w:color w:val="auto"/>
          <w:sz w:val="28"/>
          <w:szCs w:val="28"/>
        </w:rPr>
        <w:t>；试用期间发生重大质量问题，修复后试用相应顺延；试用期结束后</w:t>
      </w:r>
      <w:r>
        <w:rPr>
          <w:rFonts w:hint="eastAsia" w:ascii="仿宋" w:hAnsi="仿宋" w:eastAsia="仿宋" w:cs="仿宋"/>
          <w:color w:val="auto"/>
          <w:sz w:val="28"/>
          <w:szCs w:val="28"/>
          <w:u w:val="single"/>
          <w:lang w:val="en-US" w:eastAsia="zh-CN"/>
        </w:rPr>
        <w:t xml:space="preserve"> 3 </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日内完成最终验收；</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(2) 验收标准：按国家有关规定的质量要求和技术指标与本合同约定标准进行验收；甲乙双方如对质量要求和技术指标的约定标准有相互抵触或异议的事项，由甲方在招标与响应文件中按质量要求和技术指标比较优胜的原则确定该项的约定标准进行验收；</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(3) 验收时如发现所交付的货物有短装、次品、损坏或其它不符合标准及本合同规定之情形者，甲方应做出详尽的现场记录，或由甲乙双方签署备忘录，此现场记录或备忘录可用作补充、缺失和更换损坏部件的有效证据，由此产生的时间延误与有关费用由乙方承担，验收期限相应顺延；</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(4) 如质量验收合格，双方签署质量验收报告。</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3、货物安装完成后</w:t>
      </w:r>
      <w:r>
        <w:rPr>
          <w:rFonts w:hint="eastAsia" w:ascii="仿宋" w:hAnsi="仿宋" w:eastAsia="仿宋" w:cs="仿宋"/>
          <w:color w:val="auto"/>
          <w:sz w:val="28"/>
          <w:szCs w:val="28"/>
          <w:u w:val="single"/>
          <w:lang w:val="en-US" w:eastAsia="zh-CN"/>
        </w:rPr>
        <w:t xml:space="preserve"> 20 </w:t>
      </w:r>
      <w:r>
        <w:rPr>
          <w:rFonts w:hint="eastAsia" w:ascii="仿宋" w:hAnsi="仿宋" w:eastAsia="仿宋" w:cs="仿宋"/>
          <w:color w:val="auto"/>
          <w:sz w:val="28"/>
          <w:szCs w:val="28"/>
        </w:rPr>
        <w:t>日内，甲方无故不进行验收工作并已使用货物的，视同已安装调试完成并验收合格。</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4、乙方应将所提供货物的装箱清单、配件、随机工具、用户使用手册、原厂保修卡等资料交付给甲方；乙方不能完整交付货物及本款规定的单证和工具的，必须负责补齐，否则视为未按合同约定交货。</w:t>
      </w:r>
    </w:p>
    <w:p>
      <w:pPr>
        <w:pStyle w:val="4"/>
        <w:spacing w:line="400" w:lineRule="exact"/>
        <w:ind w:firstLine="562" w:firstLineChars="200"/>
        <w:rPr>
          <w:rFonts w:hint="eastAsia" w:ascii="仿宋" w:hAnsi="仿宋" w:eastAsia="仿宋" w:cs="仿宋"/>
          <w:color w:val="auto"/>
          <w:sz w:val="28"/>
          <w:szCs w:val="28"/>
        </w:rPr>
      </w:pPr>
      <w:bookmarkStart w:id="33" w:name="_Toc4302"/>
      <w:bookmarkStart w:id="34" w:name="_Toc26243"/>
      <w:bookmarkStart w:id="35" w:name="_Toc471310438"/>
      <w:bookmarkStart w:id="36" w:name="_Toc17004"/>
      <w:bookmarkStart w:id="37" w:name="_Toc217446111"/>
      <w:bookmarkStart w:id="38" w:name="_Toc16383"/>
      <w:bookmarkStart w:id="39" w:name="_Toc30037"/>
      <w:bookmarkStart w:id="40" w:name="_Toc11857"/>
      <w:r>
        <w:rPr>
          <w:rFonts w:hint="eastAsia" w:ascii="仿宋" w:hAnsi="仿宋" w:eastAsia="仿宋" w:cs="仿宋"/>
          <w:color w:val="auto"/>
          <w:sz w:val="28"/>
          <w:szCs w:val="28"/>
        </w:rPr>
        <w:t>五、付款方式</w:t>
      </w:r>
      <w:bookmarkEnd w:id="33"/>
      <w:bookmarkEnd w:id="34"/>
      <w:bookmarkEnd w:id="35"/>
      <w:bookmarkEnd w:id="36"/>
      <w:bookmarkEnd w:id="37"/>
      <w:bookmarkEnd w:id="38"/>
      <w:bookmarkEnd w:id="39"/>
      <w:bookmarkEnd w:id="40"/>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预付款：本合同签订生效后</w:t>
      </w:r>
      <w:r>
        <w:rPr>
          <w:rFonts w:hint="eastAsia" w:ascii="仿宋" w:hAnsi="仿宋" w:eastAsia="仿宋" w:cs="仿宋"/>
          <w:color w:val="auto"/>
          <w:sz w:val="28"/>
          <w:szCs w:val="28"/>
          <w:u w:val="single"/>
          <w:lang w:val="en-US" w:eastAsia="zh-CN"/>
        </w:rPr>
        <w:t xml:space="preserve"> 5 </w:t>
      </w:r>
      <w:r>
        <w:rPr>
          <w:rFonts w:hint="eastAsia" w:ascii="仿宋" w:hAnsi="仿宋" w:eastAsia="仿宋" w:cs="仿宋"/>
          <w:color w:val="auto"/>
          <w:sz w:val="28"/>
          <w:szCs w:val="28"/>
        </w:rPr>
        <w:t>个工作日内，甲方向乙方支付合同总价的</w:t>
      </w:r>
      <w:r>
        <w:rPr>
          <w:rFonts w:hint="eastAsia" w:ascii="仿宋" w:hAnsi="仿宋" w:eastAsia="仿宋" w:cs="仿宋"/>
          <w:color w:val="auto"/>
          <w:sz w:val="28"/>
          <w:szCs w:val="28"/>
          <w:u w:val="single"/>
          <w:lang w:val="en-US" w:eastAsia="zh-CN"/>
        </w:rPr>
        <w:t>20</w:t>
      </w:r>
      <w:r>
        <w:rPr>
          <w:rFonts w:hint="eastAsia" w:ascii="仿宋" w:hAnsi="仿宋" w:eastAsia="仿宋" w:cs="仿宋"/>
          <w:color w:val="auto"/>
          <w:sz w:val="28"/>
          <w:szCs w:val="28"/>
          <w:u w:val="single"/>
        </w:rPr>
        <w:t>%</w:t>
      </w:r>
      <w:r>
        <w:rPr>
          <w:rFonts w:hint="eastAsia" w:ascii="仿宋" w:hAnsi="仿宋" w:eastAsia="仿宋" w:cs="仿宋"/>
          <w:color w:val="auto"/>
          <w:sz w:val="28"/>
          <w:szCs w:val="28"/>
        </w:rPr>
        <w:t>的预付款；</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交货款：乙方将货物送至甲方指定地方在</w:t>
      </w:r>
      <w:r>
        <w:rPr>
          <w:rFonts w:hint="eastAsia" w:ascii="仿宋" w:hAnsi="仿宋" w:eastAsia="仿宋" w:cs="仿宋"/>
          <w:color w:val="auto"/>
          <w:sz w:val="28"/>
          <w:szCs w:val="28"/>
          <w:u w:val="single"/>
          <w:lang w:val="en-US" w:eastAsia="zh-CN"/>
        </w:rPr>
        <w:t xml:space="preserve"> 5 </w:t>
      </w:r>
      <w:r>
        <w:rPr>
          <w:rFonts w:hint="eastAsia" w:ascii="仿宋" w:hAnsi="仿宋" w:eastAsia="仿宋" w:cs="仿宋"/>
          <w:color w:val="auto"/>
          <w:sz w:val="28"/>
          <w:szCs w:val="28"/>
        </w:rPr>
        <w:t>个工作日内，甲方向乙方支付合同总价的</w:t>
      </w:r>
      <w:r>
        <w:rPr>
          <w:rFonts w:hint="eastAsia" w:ascii="仿宋" w:hAnsi="仿宋" w:eastAsia="仿宋" w:cs="仿宋"/>
          <w:color w:val="auto"/>
          <w:sz w:val="28"/>
          <w:szCs w:val="28"/>
          <w:u w:val="single"/>
          <w:lang w:val="en-US" w:eastAsia="zh-CN"/>
        </w:rPr>
        <w:t>30</w:t>
      </w:r>
      <w:r>
        <w:rPr>
          <w:rFonts w:hint="eastAsia" w:ascii="仿宋" w:hAnsi="仿宋" w:eastAsia="仿宋" w:cs="仿宋"/>
          <w:color w:val="auto"/>
          <w:sz w:val="28"/>
          <w:szCs w:val="28"/>
          <w:u w:val="single"/>
        </w:rPr>
        <w:t>%</w:t>
      </w:r>
      <w:r>
        <w:rPr>
          <w:rFonts w:hint="eastAsia" w:ascii="仿宋" w:hAnsi="仿宋" w:eastAsia="仿宋" w:cs="仿宋"/>
          <w:color w:val="auto"/>
          <w:sz w:val="28"/>
          <w:szCs w:val="28"/>
          <w:lang w:val="en-US" w:eastAsia="zh-CN"/>
        </w:rPr>
        <w:t>的交货款</w:t>
      </w:r>
      <w:r>
        <w:rPr>
          <w:rFonts w:hint="eastAsia" w:ascii="仿宋" w:hAnsi="仿宋" w:eastAsia="仿宋" w:cs="仿宋"/>
          <w:color w:val="auto"/>
          <w:sz w:val="28"/>
          <w:szCs w:val="28"/>
        </w:rPr>
        <w:t>；</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验收款：调试正常运行</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single"/>
        </w:rPr>
        <w:t>10</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rPr>
        <w:t>日</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乙方应向甲方提交验收、结算等文件，甲乙双方办理正式竣工验收和结算手续。验收合格后</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single"/>
        </w:rPr>
        <w:t>3</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rPr>
        <w:t>个工作日内，乙方提供了全额增值税发票，甲方向乙方支付至合同总价的</w:t>
      </w:r>
      <w:r>
        <w:rPr>
          <w:rFonts w:hint="eastAsia" w:ascii="仿宋" w:hAnsi="仿宋" w:eastAsia="仿宋" w:cs="仿宋"/>
          <w:color w:val="auto"/>
          <w:sz w:val="28"/>
          <w:szCs w:val="28"/>
          <w:u w:val="single"/>
          <w:lang w:val="en-US" w:eastAsia="zh-CN"/>
        </w:rPr>
        <w:t>95</w:t>
      </w:r>
      <w:r>
        <w:rPr>
          <w:rFonts w:hint="eastAsia" w:ascii="仿宋" w:hAnsi="仿宋" w:eastAsia="仿宋" w:cs="仿宋"/>
          <w:color w:val="auto"/>
          <w:sz w:val="28"/>
          <w:szCs w:val="28"/>
          <w:u w:val="single"/>
        </w:rPr>
        <w:t>%</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rPr>
        <w:t>；</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质保款：</w:t>
      </w:r>
      <w:r>
        <w:rPr>
          <w:rFonts w:hint="eastAsia" w:ascii="仿宋" w:hAnsi="仿宋" w:eastAsia="仿宋" w:cs="仿宋"/>
          <w:color w:val="auto"/>
          <w:sz w:val="28"/>
          <w:szCs w:val="28"/>
          <w:lang w:val="en-US" w:eastAsia="zh-CN"/>
        </w:rPr>
        <w:t>合同总价的</w:t>
      </w:r>
      <w:r>
        <w:rPr>
          <w:rFonts w:hint="eastAsia" w:ascii="仿宋" w:hAnsi="仿宋" w:eastAsia="仿宋" w:cs="仿宋"/>
          <w:color w:val="auto"/>
          <w:sz w:val="28"/>
          <w:szCs w:val="28"/>
          <w:u w:val="single"/>
          <w:lang w:val="en-US" w:eastAsia="zh-CN"/>
        </w:rPr>
        <w:t>5</w:t>
      </w:r>
      <w:r>
        <w:rPr>
          <w:rFonts w:hint="eastAsia" w:ascii="仿宋" w:hAnsi="仿宋" w:eastAsia="仿宋" w:cs="仿宋"/>
          <w:color w:val="auto"/>
          <w:sz w:val="28"/>
          <w:szCs w:val="28"/>
          <w:u w:val="single"/>
        </w:rPr>
        <w:t>%</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rPr>
        <w:t>的质量保证金待保修期到期后如甲方或使用单位对产品质量无异议，乙方全面履行了保修义务，在质保期满后</w:t>
      </w:r>
      <w:r>
        <w:rPr>
          <w:rFonts w:hint="eastAsia" w:ascii="仿宋" w:hAnsi="仿宋" w:eastAsia="仿宋" w:cs="仿宋"/>
          <w:color w:val="auto"/>
          <w:sz w:val="28"/>
          <w:szCs w:val="28"/>
          <w:u w:val="single"/>
          <w:lang w:val="en-US" w:eastAsia="zh-CN"/>
        </w:rPr>
        <w:t xml:space="preserve"> 5</w:t>
      </w:r>
      <w:r>
        <w:rPr>
          <w:rFonts w:hint="eastAsia" w:ascii="仿宋" w:hAnsi="仿宋" w:eastAsia="仿宋" w:cs="仿宋"/>
          <w:color w:val="auto"/>
          <w:sz w:val="28"/>
          <w:szCs w:val="28"/>
        </w:rPr>
        <w:t>个工作日内无息结清质保金。</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、乙方须向甲方出具合法有效完整的完税发票及凭证资料进行支付结算</w:t>
      </w:r>
      <w:r>
        <w:rPr>
          <w:rFonts w:hint="eastAsia" w:ascii="仿宋" w:hAnsi="仿宋" w:eastAsia="仿宋" w:cs="仿宋"/>
          <w:color w:val="auto"/>
          <w:sz w:val="28"/>
          <w:szCs w:val="28"/>
          <w:lang w:eastAsia="zh-Hans"/>
        </w:rPr>
        <w:t>，</w:t>
      </w:r>
      <w:r>
        <w:rPr>
          <w:rFonts w:hint="eastAsia" w:ascii="仿宋" w:hAnsi="仿宋" w:eastAsia="仿宋" w:cs="仿宋"/>
          <w:color w:val="auto"/>
          <w:sz w:val="28"/>
          <w:szCs w:val="28"/>
          <w:lang w:val="en-US" w:eastAsia="zh-Hans"/>
        </w:rPr>
        <w:t>乙方开票延迟导致甲方付款延迟的，甲方不承担逾期付款的违约责任</w:t>
      </w:r>
      <w:r>
        <w:rPr>
          <w:rFonts w:hint="eastAsia" w:ascii="仿宋" w:hAnsi="仿宋" w:eastAsia="仿宋" w:cs="仿宋"/>
          <w:color w:val="auto"/>
          <w:sz w:val="28"/>
          <w:szCs w:val="28"/>
        </w:rPr>
        <w:t>。</w:t>
      </w:r>
    </w:p>
    <w:p>
      <w:pPr>
        <w:pStyle w:val="4"/>
        <w:spacing w:line="400" w:lineRule="exact"/>
        <w:ind w:firstLine="562" w:firstLineChars="200"/>
        <w:rPr>
          <w:rFonts w:hint="eastAsia" w:ascii="仿宋" w:hAnsi="仿宋" w:eastAsia="仿宋" w:cs="仿宋"/>
          <w:color w:val="auto"/>
          <w:sz w:val="28"/>
          <w:szCs w:val="28"/>
        </w:rPr>
      </w:pPr>
      <w:bookmarkStart w:id="41" w:name="_Toc471310439"/>
      <w:bookmarkStart w:id="42" w:name="_Toc1642"/>
      <w:bookmarkStart w:id="43" w:name="_Toc32327"/>
      <w:bookmarkStart w:id="44" w:name="_Toc30842"/>
      <w:bookmarkStart w:id="45" w:name="_Toc2127"/>
      <w:bookmarkStart w:id="46" w:name="_Toc9365"/>
      <w:bookmarkStart w:id="47" w:name="_Toc3124"/>
      <w:bookmarkStart w:id="48" w:name="_Toc217446112"/>
      <w:r>
        <w:rPr>
          <w:rFonts w:hint="eastAsia" w:ascii="仿宋" w:hAnsi="仿宋" w:eastAsia="仿宋" w:cs="仿宋"/>
          <w:color w:val="auto"/>
          <w:sz w:val="28"/>
          <w:szCs w:val="28"/>
        </w:rPr>
        <w:t>六、售后服务</w:t>
      </w:r>
      <w:bookmarkEnd w:id="41"/>
      <w:bookmarkEnd w:id="42"/>
      <w:bookmarkEnd w:id="43"/>
      <w:bookmarkEnd w:id="44"/>
      <w:bookmarkEnd w:id="45"/>
      <w:bookmarkEnd w:id="46"/>
      <w:bookmarkEnd w:id="47"/>
      <w:bookmarkEnd w:id="48"/>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1、质保期为验收合格后</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2"/>
          <w:u w:val="single"/>
          <w:lang w:val="en-US" w:eastAsia="zh-CN"/>
        </w:rPr>
        <w:t xml:space="preserve">2 </w:t>
      </w:r>
      <w:r>
        <w:rPr>
          <w:rFonts w:hint="eastAsia" w:ascii="仿宋" w:hAnsi="仿宋" w:eastAsia="仿宋" w:cs="仿宋"/>
          <w:color w:val="auto"/>
          <w:sz w:val="28"/>
          <w:szCs w:val="28"/>
        </w:rPr>
        <w:t>年，质保期内出现质量问题，乙方在接到通知后</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u w:val="single"/>
          <w:lang w:val="en-US" w:eastAsia="zh-CN"/>
        </w:rPr>
        <w:t>48</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小时内响应到场，</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u w:val="single"/>
          <w:lang w:val="en-US" w:eastAsia="zh-CN"/>
        </w:rPr>
        <w:t>72</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小时内完成维修或更换，并承担修理调换的费用；</w:t>
      </w:r>
      <w:r>
        <w:rPr>
          <w:rFonts w:hint="eastAsia" w:ascii="仿宋" w:hAnsi="仿宋" w:eastAsia="仿宋" w:cs="仿宋"/>
          <w:color w:val="auto"/>
          <w:sz w:val="28"/>
          <w:szCs w:val="28"/>
          <w:lang w:val="en-US" w:eastAsia="zh-Hans"/>
        </w:rPr>
        <w:t>逾期未响应或未完成维修或者更换，甲方有权聘请他人进行维修，由此造成的费用由乙方自行承担。</w:t>
      </w:r>
      <w:r>
        <w:rPr>
          <w:rFonts w:hint="eastAsia" w:ascii="仿宋" w:hAnsi="仿宋" w:eastAsia="仿宋" w:cs="仿宋"/>
          <w:color w:val="auto"/>
          <w:sz w:val="28"/>
          <w:szCs w:val="28"/>
        </w:rPr>
        <w:t>如货物经乙方</w:t>
      </w:r>
      <w:r>
        <w:rPr>
          <w:rFonts w:hint="eastAsia" w:ascii="仿宋" w:hAnsi="仿宋" w:eastAsia="仿宋" w:cs="仿宋"/>
          <w:color w:val="auto"/>
          <w:sz w:val="28"/>
          <w:szCs w:val="28"/>
          <w:u w:val="none"/>
          <w:lang w:val="en-US" w:eastAsia="zh-CN"/>
        </w:rPr>
        <w:t>多</w:t>
      </w:r>
      <w:r>
        <w:rPr>
          <w:rFonts w:hint="eastAsia" w:ascii="仿宋" w:hAnsi="仿宋" w:eastAsia="仿宋" w:cs="仿宋"/>
          <w:color w:val="auto"/>
          <w:sz w:val="28"/>
          <w:szCs w:val="28"/>
        </w:rPr>
        <w:t>次维修仍不能达到本合同约定的质量标准，视作乙方未能按时交货，甲方有权退货并追究乙方的违约责任。货到现场后由于甲方保管不当造成的问题，乙方亦应负责修复，但费用由甲方负担。</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2、乙方须指派专人负责与甲方联系售后服务事宜。 </w:t>
      </w:r>
    </w:p>
    <w:p>
      <w:pPr>
        <w:pStyle w:val="4"/>
        <w:spacing w:line="400" w:lineRule="exact"/>
        <w:ind w:firstLine="562" w:firstLineChars="200"/>
        <w:rPr>
          <w:rFonts w:hint="eastAsia" w:ascii="仿宋" w:hAnsi="仿宋" w:eastAsia="仿宋" w:cs="仿宋"/>
          <w:color w:val="auto"/>
          <w:sz w:val="28"/>
          <w:szCs w:val="28"/>
        </w:rPr>
      </w:pPr>
      <w:bookmarkStart w:id="49" w:name="_Toc471310440"/>
      <w:bookmarkStart w:id="50" w:name="_Toc12317"/>
      <w:bookmarkStart w:id="51" w:name="_Toc32216"/>
      <w:bookmarkStart w:id="52" w:name="_Toc27619"/>
      <w:bookmarkStart w:id="53" w:name="_Toc12753"/>
      <w:bookmarkStart w:id="54" w:name="_Toc217446113"/>
      <w:bookmarkStart w:id="55" w:name="_Toc29250"/>
      <w:bookmarkStart w:id="56" w:name="_Toc12123"/>
      <w:r>
        <w:rPr>
          <w:rFonts w:hint="eastAsia" w:ascii="仿宋" w:hAnsi="仿宋" w:eastAsia="仿宋" w:cs="仿宋"/>
          <w:color w:val="auto"/>
          <w:sz w:val="28"/>
          <w:szCs w:val="28"/>
        </w:rPr>
        <w:t>七、违约责任</w:t>
      </w:r>
      <w:bookmarkEnd w:id="49"/>
      <w:bookmarkEnd w:id="50"/>
      <w:bookmarkEnd w:id="51"/>
      <w:bookmarkEnd w:id="52"/>
      <w:bookmarkEnd w:id="53"/>
      <w:bookmarkEnd w:id="54"/>
      <w:bookmarkEnd w:id="55"/>
      <w:bookmarkEnd w:id="56"/>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1、甲方违约责任</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（1）甲方无正当理由拒收货物的，甲方应偿付合同总价百分之</w:t>
      </w:r>
      <w:r>
        <w:rPr>
          <w:rFonts w:hint="default" w:ascii="仿宋" w:hAnsi="仿宋" w:eastAsia="仿宋" w:cs="仿宋"/>
          <w:color w:val="auto"/>
          <w:sz w:val="28"/>
          <w:szCs w:val="28"/>
          <w:u w:val="single"/>
          <w:lang w:eastAsia="zh-CN"/>
        </w:rPr>
        <w:t>20</w:t>
      </w:r>
      <w:r>
        <w:rPr>
          <w:rFonts w:hint="eastAsia" w:ascii="仿宋" w:hAnsi="仿宋" w:eastAsia="仿宋" w:cs="仿宋"/>
          <w:color w:val="auto"/>
          <w:sz w:val="28"/>
          <w:szCs w:val="28"/>
        </w:rPr>
        <w:t>的违约金；</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（2 )甲方逾期支付货款的，除应及时付足货款外，应向乙方偿付欠款总额万分之</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u w:val="single"/>
          <w:lang w:val="en-US" w:eastAsia="zh-CN"/>
        </w:rPr>
        <w:t xml:space="preserve">3  </w:t>
      </w:r>
      <w:r>
        <w:rPr>
          <w:rFonts w:hint="eastAsia" w:ascii="仿宋" w:hAnsi="仿宋" w:eastAsia="仿宋" w:cs="仿宋"/>
          <w:color w:val="auto"/>
          <w:sz w:val="28"/>
          <w:szCs w:val="28"/>
        </w:rPr>
        <w:t>/天的违约金；逾期付款超过</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u w:val="single"/>
          <w:lang w:val="en-US" w:eastAsia="zh-CN"/>
        </w:rPr>
        <w:t>40</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天的，乙方有权终止合同；</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（3）甲方偿付的违约金不足以弥补乙方损失的，还应按乙方损失尚未弥补的部分，支付赔偿金给乙方。</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2、乙方违约责任</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（1）乙方交付的货物质量不符合合同规定的，须在合同规定的交货时间内更换合格的货物给甲方，否则，视作乙方不能交付货物而违约，按本条本款下述第“（2）”项规定由乙方偿付违约赔偿金给甲方。</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（2）乙方不能交付货物或逾期交付货物而违约的，除应及时交足货物外，应向甲方偿付逾期交货部分货款总额的万分之</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u w:val="single"/>
          <w:lang w:val="en-US" w:eastAsia="zh-CN"/>
        </w:rPr>
        <w:t xml:space="preserve">3 </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/天的违约金；逾期交货超过</w:t>
      </w:r>
      <w:r>
        <w:rPr>
          <w:rFonts w:hint="eastAsia" w:ascii="仿宋" w:hAnsi="仿宋" w:eastAsia="仿宋" w:cs="仿宋"/>
          <w:color w:val="auto"/>
          <w:sz w:val="28"/>
          <w:szCs w:val="22"/>
          <w:u w:val="single"/>
          <w:lang w:val="en-US" w:eastAsia="zh-CN"/>
        </w:rPr>
        <w:t>60</w:t>
      </w:r>
      <w:r>
        <w:rPr>
          <w:rFonts w:hint="eastAsia" w:ascii="仿宋" w:hAnsi="仿宋" w:eastAsia="仿宋" w:cs="仿宋"/>
          <w:color w:val="auto"/>
          <w:sz w:val="28"/>
          <w:szCs w:val="28"/>
        </w:rPr>
        <w:t>天，甲方有权终止合同，乙方则应按合同总价的百分之</w:t>
      </w:r>
      <w:r>
        <w:rPr>
          <w:rFonts w:hint="eastAsia" w:ascii="仿宋" w:hAnsi="仿宋" w:eastAsia="仿宋" w:cs="仿宋"/>
          <w:color w:val="auto"/>
          <w:sz w:val="28"/>
          <w:szCs w:val="28"/>
          <w:u w:val="single"/>
        </w:rPr>
        <w:t xml:space="preserve"> </w:t>
      </w:r>
      <w:r>
        <w:rPr>
          <w:rFonts w:hint="default" w:ascii="仿宋" w:hAnsi="仿宋" w:eastAsia="仿宋" w:cs="仿宋"/>
          <w:color w:val="auto"/>
          <w:sz w:val="28"/>
          <w:szCs w:val="28"/>
          <w:u w:val="single"/>
          <w:lang w:eastAsia="zh-CN"/>
        </w:rPr>
        <w:t>20</w:t>
      </w:r>
      <w:r>
        <w:rPr>
          <w:rFonts w:hint="eastAsia" w:ascii="仿宋" w:hAnsi="仿宋" w:eastAsia="仿宋" w:cs="仿宋"/>
          <w:color w:val="auto"/>
          <w:sz w:val="28"/>
          <w:szCs w:val="28"/>
        </w:rPr>
        <w:t>的款额向甲方偿付赔偿金，并须全额退还甲方已经付给乙方的货款及其利息。</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乙方保证本合同货物的权利无瑕疵，包括货物所有权及知识产权等权利无瑕疵。如任何第三方经法院（或仲裁机构）裁决有权对上述货物主张权利或国家机关依法对货物进行没收查处的，乙方除应向甲方返还已收款项外，还应另按合同总价的百分之</w:t>
      </w:r>
      <w:r>
        <w:rPr>
          <w:rFonts w:hint="eastAsia" w:ascii="仿宋" w:hAnsi="仿宋" w:eastAsia="仿宋" w:cs="仿宋"/>
          <w:color w:val="auto"/>
          <w:sz w:val="28"/>
          <w:szCs w:val="28"/>
          <w:u w:val="single"/>
        </w:rPr>
        <w:t xml:space="preserve">  </w:t>
      </w:r>
      <w:r>
        <w:rPr>
          <w:rFonts w:hint="default" w:ascii="仿宋" w:hAnsi="仿宋" w:eastAsia="仿宋" w:cs="仿宋"/>
          <w:color w:val="auto"/>
          <w:sz w:val="28"/>
          <w:szCs w:val="28"/>
          <w:u w:val="single"/>
          <w:lang w:eastAsia="zh-CN"/>
        </w:rPr>
        <w:t>20</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向甲方支付违约金并赔偿因此给甲方造成的一切损失。</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（5）乙方偿付的违约金不足以弥补甲方损失的，还应按甲方损失尚未弥补的部分，支付赔偿金给甲方。</w:t>
      </w:r>
    </w:p>
    <w:p>
      <w:pPr>
        <w:pStyle w:val="4"/>
        <w:spacing w:line="400" w:lineRule="exact"/>
        <w:ind w:firstLine="562" w:firstLineChars="200"/>
        <w:rPr>
          <w:rFonts w:hint="eastAsia" w:ascii="仿宋" w:hAnsi="仿宋" w:eastAsia="仿宋" w:cs="仿宋"/>
          <w:color w:val="auto"/>
          <w:sz w:val="28"/>
          <w:szCs w:val="28"/>
        </w:rPr>
      </w:pPr>
      <w:bookmarkStart w:id="57" w:name="_Toc14077"/>
      <w:bookmarkStart w:id="58" w:name="_Toc18850"/>
      <w:bookmarkStart w:id="59" w:name="_Toc471310441"/>
      <w:bookmarkStart w:id="60" w:name="_Toc1065"/>
      <w:bookmarkStart w:id="61" w:name="_Toc1478"/>
      <w:bookmarkStart w:id="62" w:name="_Toc217446114"/>
      <w:bookmarkStart w:id="63" w:name="_Toc31872"/>
      <w:bookmarkStart w:id="64" w:name="_Toc13532"/>
      <w:r>
        <w:rPr>
          <w:rFonts w:hint="eastAsia" w:ascii="仿宋" w:hAnsi="仿宋" w:eastAsia="仿宋" w:cs="仿宋"/>
          <w:color w:val="auto"/>
          <w:sz w:val="28"/>
          <w:szCs w:val="28"/>
        </w:rPr>
        <w:t>八、争议解决办法</w:t>
      </w:r>
      <w:bookmarkEnd w:id="57"/>
      <w:bookmarkEnd w:id="58"/>
      <w:bookmarkEnd w:id="59"/>
      <w:bookmarkEnd w:id="60"/>
      <w:bookmarkEnd w:id="61"/>
      <w:bookmarkEnd w:id="62"/>
      <w:bookmarkEnd w:id="63"/>
      <w:bookmarkEnd w:id="64"/>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1、因货物的质量问题发生争议，由质量技术监督部门或其指定的质量鉴定机构进行质量鉴定。货物符合标准的，鉴定费由甲方承担；货物不符合质量标准的，鉴定费由乙方承担。</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2、合同履行期间,若双方发生争议，可协商或由有关部门调解解决，协商或调解不成的，</w:t>
      </w:r>
      <w:r>
        <w:rPr>
          <w:rFonts w:hint="eastAsia" w:ascii="仿宋" w:hAnsi="仿宋" w:eastAsia="仿宋" w:cs="仿宋"/>
          <w:color w:val="auto"/>
          <w:sz w:val="28"/>
          <w:szCs w:val="28"/>
          <w:lang w:val="en-US" w:eastAsia="zh-Hans"/>
        </w:rPr>
        <w:t>可向甲方所在地人民法院起诉</w:t>
      </w:r>
      <w:r>
        <w:rPr>
          <w:rFonts w:hint="eastAsia" w:ascii="仿宋" w:hAnsi="仿宋" w:eastAsia="仿宋" w:cs="仿宋"/>
          <w:color w:val="auto"/>
          <w:sz w:val="28"/>
          <w:szCs w:val="28"/>
        </w:rPr>
        <w:t>。</w:t>
      </w:r>
    </w:p>
    <w:p>
      <w:pPr>
        <w:pStyle w:val="4"/>
        <w:spacing w:line="400" w:lineRule="exact"/>
        <w:ind w:firstLine="562" w:firstLineChars="200"/>
        <w:rPr>
          <w:rFonts w:hint="eastAsia" w:ascii="仿宋" w:hAnsi="仿宋" w:eastAsia="仿宋" w:cs="仿宋"/>
          <w:color w:val="auto"/>
          <w:sz w:val="28"/>
          <w:szCs w:val="28"/>
        </w:rPr>
      </w:pPr>
      <w:bookmarkStart w:id="65" w:name="_Toc20569"/>
      <w:bookmarkStart w:id="66" w:name="_Toc16081"/>
      <w:bookmarkStart w:id="67" w:name="_Toc2210"/>
      <w:bookmarkStart w:id="68" w:name="_Toc27007"/>
      <w:bookmarkStart w:id="69" w:name="_Toc471310442"/>
      <w:bookmarkStart w:id="70" w:name="_Toc20087"/>
      <w:bookmarkStart w:id="71" w:name="_Toc217446115"/>
      <w:bookmarkStart w:id="72" w:name="_Toc15184"/>
      <w:r>
        <w:rPr>
          <w:rFonts w:hint="eastAsia" w:ascii="仿宋" w:hAnsi="仿宋" w:eastAsia="仿宋" w:cs="仿宋"/>
          <w:color w:val="auto"/>
          <w:sz w:val="28"/>
          <w:szCs w:val="28"/>
        </w:rPr>
        <w:t>九、其他</w:t>
      </w:r>
      <w:bookmarkEnd w:id="65"/>
      <w:bookmarkEnd w:id="66"/>
      <w:bookmarkEnd w:id="67"/>
      <w:bookmarkEnd w:id="68"/>
      <w:bookmarkEnd w:id="69"/>
      <w:bookmarkEnd w:id="70"/>
      <w:bookmarkEnd w:id="71"/>
      <w:bookmarkEnd w:id="72"/>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1、如有未尽事宜，由双方依法订立补充合同。</w:t>
      </w:r>
    </w:p>
    <w:p>
      <w:pPr>
        <w:pStyle w:val="23"/>
        <w:ind w:firstLine="480"/>
        <w:rPr>
          <w:rFonts w:hint="eastAsia" w:ascii="仿宋" w:hAnsi="仿宋" w:eastAsia="仿宋" w:cs="仿宋"/>
          <w:color w:val="auto"/>
          <w:sz w:val="28"/>
          <w:szCs w:val="28"/>
        </w:rPr>
      </w:pPr>
      <w:r>
        <w:rPr>
          <w:rFonts w:hint="eastAsia" w:ascii="仿宋" w:hAnsi="仿宋" w:eastAsia="仿宋" w:cs="仿宋"/>
          <w:color w:val="auto"/>
          <w:sz w:val="28"/>
          <w:szCs w:val="28"/>
        </w:rPr>
        <w:t>2、本合同一式</w:t>
      </w:r>
      <w:r>
        <w:rPr>
          <w:rFonts w:hint="eastAsia" w:ascii="仿宋" w:hAnsi="仿宋" w:eastAsia="仿宋" w:cs="仿宋"/>
          <w:color w:val="auto"/>
          <w:sz w:val="28"/>
          <w:szCs w:val="28"/>
          <w:lang w:val="en-US" w:eastAsia="zh-CN"/>
        </w:rPr>
        <w:t>贰</w:t>
      </w:r>
      <w:r>
        <w:rPr>
          <w:rFonts w:hint="eastAsia" w:ascii="仿宋" w:hAnsi="仿宋" w:eastAsia="仿宋" w:cs="仿宋"/>
          <w:color w:val="auto"/>
          <w:sz w:val="28"/>
          <w:szCs w:val="28"/>
        </w:rPr>
        <w:t>份，自双方签章之日起生效。甲方</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rPr>
        <w:t>份，乙方一份。</w:t>
      </w:r>
    </w:p>
    <w:p>
      <w:pPr>
        <w:spacing w:line="400" w:lineRule="exact"/>
        <w:rPr>
          <w:rFonts w:hint="eastAsia" w:ascii="仿宋" w:hAnsi="仿宋" w:eastAsia="仿宋" w:cs="仿宋"/>
          <w:color w:val="auto"/>
          <w:sz w:val="28"/>
          <w:szCs w:val="28"/>
        </w:rPr>
      </w:pPr>
    </w:p>
    <w:p>
      <w:pPr>
        <w:pStyle w:val="6"/>
        <w:rPr>
          <w:rFonts w:hint="eastAsia"/>
        </w:rPr>
      </w:pPr>
    </w:p>
    <w:tbl>
      <w:tblPr>
        <w:tblStyle w:val="12"/>
        <w:tblW w:w="951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05"/>
        <w:gridCol w:w="49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05" w:type="dxa"/>
            <w:tcBorders>
              <w:tl2br w:val="nil"/>
              <w:tr2bl w:val="nil"/>
            </w:tcBorders>
            <w:vAlign w:val="top"/>
          </w:tcPr>
          <w:p>
            <w:pPr>
              <w:pStyle w:val="6"/>
              <w:jc w:val="both"/>
              <w:rPr>
                <w:rFonts w:hint="eastAsia"/>
                <w:sz w:val="40"/>
                <w:szCs w:val="20"/>
                <w:vertAlign w:val="baseline"/>
              </w:rPr>
            </w:pPr>
            <w:r>
              <w:rPr>
                <w:rFonts w:hint="eastAsia" w:ascii="仿宋" w:hAnsi="仿宋" w:eastAsia="仿宋" w:cs="仿宋"/>
                <w:color w:val="auto"/>
                <w:sz w:val="24"/>
                <w:szCs w:val="24"/>
              </w:rPr>
              <w:t>甲方：（盖章）</w:t>
            </w:r>
          </w:p>
        </w:tc>
        <w:tc>
          <w:tcPr>
            <w:tcW w:w="4909" w:type="dxa"/>
            <w:tcBorders>
              <w:tl2br w:val="nil"/>
              <w:tr2bl w:val="nil"/>
            </w:tcBorders>
            <w:vAlign w:val="top"/>
          </w:tcPr>
          <w:p>
            <w:pPr>
              <w:pStyle w:val="6"/>
              <w:jc w:val="both"/>
              <w:rPr>
                <w:rFonts w:hint="eastAsia"/>
                <w:sz w:val="40"/>
                <w:szCs w:val="20"/>
                <w:vertAlign w:val="baseline"/>
              </w:rPr>
            </w:pPr>
            <w:r>
              <w:rPr>
                <w:rFonts w:hint="eastAsia" w:ascii="仿宋" w:hAnsi="仿宋" w:eastAsia="仿宋" w:cs="仿宋"/>
                <w:color w:val="auto"/>
                <w:sz w:val="24"/>
                <w:szCs w:val="24"/>
              </w:rPr>
              <w:t>乙方：（盖章）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05" w:type="dxa"/>
            <w:tcBorders>
              <w:tl2br w:val="nil"/>
              <w:tr2bl w:val="nil"/>
            </w:tcBorders>
            <w:vAlign w:val="top"/>
          </w:tcPr>
          <w:p>
            <w:pPr>
              <w:pStyle w:val="6"/>
              <w:jc w:val="both"/>
              <w:rPr>
                <w:rFonts w:hint="eastAsia"/>
                <w:sz w:val="40"/>
                <w:szCs w:val="20"/>
                <w:vertAlign w:val="baseline"/>
              </w:rPr>
            </w:pPr>
            <w:r>
              <w:rPr>
                <w:rFonts w:hint="eastAsia" w:ascii="仿宋" w:hAnsi="仿宋" w:eastAsia="仿宋" w:cs="仿宋"/>
                <w:color w:val="auto"/>
                <w:sz w:val="24"/>
                <w:szCs w:val="24"/>
              </w:rPr>
              <w:t xml:space="preserve">法定代表人（授权代表）： </w:t>
            </w:r>
          </w:p>
        </w:tc>
        <w:tc>
          <w:tcPr>
            <w:tcW w:w="4909" w:type="dxa"/>
            <w:tcBorders>
              <w:tl2br w:val="nil"/>
              <w:tr2bl w:val="nil"/>
            </w:tcBorders>
            <w:vAlign w:val="top"/>
          </w:tcPr>
          <w:p>
            <w:pPr>
              <w:pStyle w:val="6"/>
              <w:jc w:val="both"/>
              <w:rPr>
                <w:rFonts w:hint="eastAsia"/>
                <w:sz w:val="40"/>
                <w:szCs w:val="20"/>
                <w:vertAlign w:val="baseline"/>
              </w:rPr>
            </w:pPr>
            <w:r>
              <w:rPr>
                <w:rFonts w:hint="eastAsia" w:ascii="仿宋" w:hAnsi="仿宋" w:eastAsia="仿宋" w:cs="仿宋"/>
                <w:color w:val="auto"/>
                <w:sz w:val="24"/>
                <w:szCs w:val="24"/>
              </w:rPr>
              <w:t xml:space="preserve">法定代表人（授权代表）：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05" w:type="dxa"/>
            <w:tcBorders>
              <w:tl2br w:val="nil"/>
              <w:tr2bl w:val="nil"/>
            </w:tcBorders>
            <w:vAlign w:val="top"/>
          </w:tcPr>
          <w:p>
            <w:pPr>
              <w:pStyle w:val="6"/>
              <w:jc w:val="both"/>
              <w:rPr>
                <w:rFonts w:hint="eastAsia"/>
                <w:sz w:val="40"/>
                <w:szCs w:val="20"/>
                <w:vertAlign w:val="baseline"/>
              </w:rPr>
            </w:pPr>
            <w:r>
              <w:rPr>
                <w:rFonts w:hint="eastAsia" w:ascii="仿宋" w:hAnsi="仿宋" w:eastAsia="仿宋" w:cs="仿宋"/>
                <w:color w:val="auto"/>
                <w:sz w:val="24"/>
                <w:szCs w:val="24"/>
              </w:rPr>
              <w:t xml:space="preserve">地址： </w:t>
            </w:r>
          </w:p>
        </w:tc>
        <w:tc>
          <w:tcPr>
            <w:tcW w:w="4909" w:type="dxa"/>
            <w:tcBorders>
              <w:tl2br w:val="nil"/>
              <w:tr2bl w:val="nil"/>
            </w:tcBorders>
            <w:vAlign w:val="top"/>
          </w:tcPr>
          <w:p>
            <w:pPr>
              <w:pStyle w:val="6"/>
              <w:jc w:val="both"/>
              <w:rPr>
                <w:rFonts w:hint="eastAsia"/>
                <w:sz w:val="40"/>
                <w:szCs w:val="20"/>
                <w:vertAlign w:val="baseline"/>
              </w:rPr>
            </w:pPr>
            <w:r>
              <w:rPr>
                <w:rFonts w:hint="eastAsia" w:ascii="仿宋" w:hAnsi="仿宋" w:eastAsia="仿宋" w:cs="仿宋"/>
                <w:color w:val="auto"/>
                <w:sz w:val="24"/>
                <w:szCs w:val="24"/>
              </w:rPr>
              <w:t xml:space="preserve">地址：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05" w:type="dxa"/>
            <w:tcBorders>
              <w:tl2br w:val="nil"/>
              <w:tr2bl w:val="nil"/>
            </w:tcBorders>
            <w:vAlign w:val="top"/>
          </w:tcPr>
          <w:p>
            <w:pPr>
              <w:pStyle w:val="6"/>
              <w:jc w:val="both"/>
              <w:rPr>
                <w:rFonts w:hint="eastAsia"/>
                <w:sz w:val="40"/>
                <w:szCs w:val="20"/>
                <w:vertAlign w:val="baseline"/>
              </w:rPr>
            </w:pPr>
            <w:r>
              <w:rPr>
                <w:rFonts w:hint="eastAsia" w:ascii="仿宋" w:hAnsi="仿宋" w:eastAsia="仿宋" w:cs="仿宋"/>
                <w:color w:val="auto"/>
                <w:sz w:val="22"/>
                <w:szCs w:val="22"/>
              </w:rPr>
              <w:t>开户银行：</w:t>
            </w:r>
          </w:p>
        </w:tc>
        <w:tc>
          <w:tcPr>
            <w:tcW w:w="4909" w:type="dxa"/>
            <w:tcBorders>
              <w:tl2br w:val="nil"/>
              <w:tr2bl w:val="nil"/>
            </w:tcBorders>
            <w:vAlign w:val="top"/>
          </w:tcPr>
          <w:p>
            <w:pPr>
              <w:pStyle w:val="6"/>
              <w:jc w:val="both"/>
              <w:rPr>
                <w:rFonts w:hint="eastAsia"/>
                <w:sz w:val="40"/>
                <w:szCs w:val="20"/>
                <w:vertAlign w:val="baseline"/>
              </w:rPr>
            </w:pPr>
            <w:r>
              <w:rPr>
                <w:rFonts w:hint="eastAsia" w:ascii="仿宋" w:hAnsi="仿宋" w:eastAsia="仿宋" w:cs="仿宋"/>
                <w:color w:val="auto"/>
                <w:sz w:val="22"/>
                <w:szCs w:val="22"/>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05" w:type="dxa"/>
            <w:tcBorders>
              <w:tl2br w:val="nil"/>
              <w:tr2bl w:val="nil"/>
            </w:tcBorders>
            <w:vAlign w:val="top"/>
          </w:tcPr>
          <w:p>
            <w:pPr>
              <w:pStyle w:val="6"/>
              <w:jc w:val="both"/>
              <w:rPr>
                <w:rFonts w:hint="eastAsia"/>
                <w:sz w:val="40"/>
                <w:szCs w:val="20"/>
                <w:vertAlign w:val="baseline"/>
              </w:rPr>
            </w:pPr>
            <w:r>
              <w:rPr>
                <w:rFonts w:hint="eastAsia" w:ascii="仿宋" w:hAnsi="仿宋" w:eastAsia="仿宋" w:cs="仿宋"/>
                <w:color w:val="auto"/>
                <w:sz w:val="24"/>
                <w:szCs w:val="24"/>
              </w:rPr>
              <w:t xml:space="preserve">账号：                           </w:t>
            </w:r>
          </w:p>
        </w:tc>
        <w:tc>
          <w:tcPr>
            <w:tcW w:w="4909" w:type="dxa"/>
            <w:tcBorders>
              <w:tl2br w:val="nil"/>
              <w:tr2bl w:val="nil"/>
            </w:tcBorders>
            <w:vAlign w:val="top"/>
          </w:tcPr>
          <w:p>
            <w:pPr>
              <w:pStyle w:val="6"/>
              <w:jc w:val="both"/>
              <w:rPr>
                <w:rFonts w:hint="eastAsia"/>
                <w:sz w:val="40"/>
                <w:szCs w:val="20"/>
                <w:vertAlign w:val="baseline"/>
              </w:rPr>
            </w:pPr>
            <w:r>
              <w:rPr>
                <w:rFonts w:hint="eastAsia" w:ascii="仿宋" w:hAnsi="仿宋" w:eastAsia="仿宋" w:cs="仿宋"/>
                <w:color w:val="auto"/>
                <w:sz w:val="24"/>
                <w:szCs w:val="24"/>
              </w:rPr>
              <w:t xml:space="preserve">账号：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05" w:type="dxa"/>
            <w:tcBorders>
              <w:tl2br w:val="nil"/>
              <w:tr2bl w:val="nil"/>
            </w:tcBorders>
            <w:vAlign w:val="top"/>
          </w:tcPr>
          <w:p>
            <w:pPr>
              <w:pStyle w:val="6"/>
              <w:jc w:val="both"/>
              <w:rPr>
                <w:rFonts w:hint="eastAsia"/>
                <w:sz w:val="40"/>
                <w:szCs w:val="20"/>
                <w:vertAlign w:val="baseline"/>
              </w:rPr>
            </w:pPr>
            <w:r>
              <w:rPr>
                <w:rFonts w:hint="eastAsia" w:ascii="仿宋" w:hAnsi="仿宋" w:eastAsia="仿宋" w:cs="仿宋"/>
                <w:color w:val="auto"/>
                <w:sz w:val="24"/>
                <w:szCs w:val="24"/>
              </w:rPr>
              <w:t xml:space="preserve">电话： </w:t>
            </w:r>
          </w:p>
        </w:tc>
        <w:tc>
          <w:tcPr>
            <w:tcW w:w="4909" w:type="dxa"/>
            <w:tcBorders>
              <w:tl2br w:val="nil"/>
              <w:tr2bl w:val="nil"/>
            </w:tcBorders>
            <w:vAlign w:val="top"/>
          </w:tcPr>
          <w:p>
            <w:pPr>
              <w:pStyle w:val="6"/>
              <w:jc w:val="both"/>
              <w:rPr>
                <w:rFonts w:hint="eastAsia"/>
                <w:sz w:val="40"/>
                <w:szCs w:val="20"/>
                <w:vertAlign w:val="baseline"/>
              </w:rPr>
            </w:pPr>
            <w:r>
              <w:rPr>
                <w:rFonts w:hint="eastAsia" w:ascii="仿宋" w:hAnsi="仿宋" w:eastAsia="仿宋" w:cs="仿宋"/>
                <w:color w:val="auto"/>
                <w:sz w:val="24"/>
                <w:szCs w:val="24"/>
              </w:rPr>
              <w:t xml:space="preserve">电话：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05" w:type="dxa"/>
            <w:tcBorders>
              <w:tl2br w:val="nil"/>
              <w:tr2bl w:val="nil"/>
            </w:tcBorders>
            <w:vAlign w:val="top"/>
          </w:tcPr>
          <w:p>
            <w:pPr>
              <w:pStyle w:val="6"/>
              <w:jc w:val="both"/>
              <w:rPr>
                <w:rFonts w:hint="eastAsia"/>
                <w:sz w:val="40"/>
                <w:szCs w:val="20"/>
                <w:vertAlign w:val="baseline"/>
              </w:rPr>
            </w:pPr>
            <w:r>
              <w:rPr>
                <w:rFonts w:hint="eastAsia" w:ascii="仿宋" w:hAnsi="仿宋" w:eastAsia="仿宋" w:cs="仿宋"/>
                <w:color w:val="auto"/>
                <w:sz w:val="24"/>
                <w:szCs w:val="32"/>
              </w:rPr>
              <w:t>签约日期：</w:t>
            </w:r>
            <w:r>
              <w:rPr>
                <w:rFonts w:hint="eastAsia" w:ascii="仿宋" w:hAnsi="仿宋" w:eastAsia="仿宋" w:cs="仿宋"/>
                <w:color w:val="auto"/>
                <w:sz w:val="24"/>
                <w:szCs w:val="32"/>
                <w:lang w:val="en-US" w:eastAsia="zh-CN"/>
              </w:rPr>
              <w:t xml:space="preserve">   </w:t>
            </w:r>
            <w:r>
              <w:rPr>
                <w:rFonts w:hint="eastAsia" w:ascii="仿宋" w:hAnsi="仿宋" w:eastAsia="仿宋" w:cs="仿宋"/>
                <w:color w:val="auto"/>
                <w:sz w:val="24"/>
                <w:szCs w:val="32"/>
              </w:rPr>
              <w:t>年</w:t>
            </w:r>
            <w:r>
              <w:rPr>
                <w:rFonts w:hint="eastAsia" w:ascii="仿宋" w:hAnsi="仿宋" w:eastAsia="仿宋" w:cs="仿宋"/>
                <w:color w:val="auto"/>
                <w:sz w:val="24"/>
                <w:szCs w:val="32"/>
                <w:lang w:val="en-US" w:eastAsia="zh-CN"/>
              </w:rPr>
              <w:t xml:space="preserve">  </w:t>
            </w:r>
            <w:r>
              <w:rPr>
                <w:rFonts w:hint="eastAsia" w:ascii="仿宋" w:hAnsi="仿宋" w:eastAsia="仿宋" w:cs="仿宋"/>
                <w:color w:val="auto"/>
                <w:sz w:val="24"/>
                <w:szCs w:val="32"/>
              </w:rPr>
              <w:t>月</w:t>
            </w:r>
            <w:r>
              <w:rPr>
                <w:rFonts w:hint="eastAsia" w:ascii="仿宋" w:hAnsi="仿宋" w:eastAsia="仿宋" w:cs="仿宋"/>
                <w:color w:val="auto"/>
                <w:sz w:val="24"/>
                <w:szCs w:val="32"/>
                <w:lang w:val="en-US" w:eastAsia="zh-CN"/>
              </w:rPr>
              <w:t xml:space="preserve">  </w:t>
            </w:r>
            <w:r>
              <w:rPr>
                <w:rFonts w:hint="eastAsia" w:ascii="仿宋" w:hAnsi="仿宋" w:eastAsia="仿宋" w:cs="仿宋"/>
                <w:color w:val="auto"/>
                <w:sz w:val="24"/>
                <w:szCs w:val="32"/>
              </w:rPr>
              <w:t>日</w:t>
            </w:r>
          </w:p>
        </w:tc>
        <w:tc>
          <w:tcPr>
            <w:tcW w:w="4909" w:type="dxa"/>
            <w:tcBorders>
              <w:tl2br w:val="nil"/>
              <w:tr2bl w:val="nil"/>
            </w:tcBorders>
            <w:vAlign w:val="top"/>
          </w:tcPr>
          <w:p>
            <w:pPr>
              <w:pStyle w:val="6"/>
              <w:jc w:val="both"/>
              <w:rPr>
                <w:rFonts w:hint="eastAsia"/>
                <w:sz w:val="40"/>
                <w:szCs w:val="20"/>
                <w:vertAlign w:val="baseline"/>
              </w:rPr>
            </w:pPr>
            <w:r>
              <w:rPr>
                <w:rFonts w:hint="eastAsia" w:ascii="仿宋" w:hAnsi="仿宋" w:eastAsia="仿宋" w:cs="仿宋"/>
                <w:color w:val="auto"/>
                <w:sz w:val="24"/>
                <w:szCs w:val="32"/>
              </w:rPr>
              <w:t>签约日期：</w:t>
            </w:r>
            <w:r>
              <w:rPr>
                <w:rFonts w:hint="eastAsia" w:ascii="仿宋" w:hAnsi="仿宋" w:eastAsia="仿宋" w:cs="仿宋"/>
                <w:color w:val="auto"/>
                <w:sz w:val="24"/>
                <w:szCs w:val="32"/>
                <w:lang w:val="en-US" w:eastAsia="zh-CN"/>
              </w:rPr>
              <w:t xml:space="preserve">  </w:t>
            </w:r>
            <w:r>
              <w:rPr>
                <w:rFonts w:hint="eastAsia" w:ascii="仿宋" w:hAnsi="仿宋" w:eastAsia="仿宋" w:cs="仿宋"/>
                <w:color w:val="auto"/>
                <w:sz w:val="24"/>
                <w:szCs w:val="32"/>
              </w:rPr>
              <w:t>年</w:t>
            </w:r>
            <w:r>
              <w:rPr>
                <w:rFonts w:hint="eastAsia" w:ascii="仿宋" w:hAnsi="仿宋" w:eastAsia="仿宋" w:cs="仿宋"/>
                <w:color w:val="auto"/>
                <w:sz w:val="24"/>
                <w:szCs w:val="32"/>
                <w:lang w:val="en-US" w:eastAsia="zh-CN"/>
              </w:rPr>
              <w:t xml:space="preserve">  </w:t>
            </w:r>
            <w:r>
              <w:rPr>
                <w:rFonts w:hint="eastAsia" w:ascii="仿宋" w:hAnsi="仿宋" w:eastAsia="仿宋" w:cs="仿宋"/>
                <w:color w:val="auto"/>
                <w:sz w:val="24"/>
                <w:szCs w:val="32"/>
              </w:rPr>
              <w:t>月</w:t>
            </w:r>
            <w:r>
              <w:rPr>
                <w:rFonts w:hint="eastAsia" w:ascii="仿宋" w:hAnsi="仿宋" w:eastAsia="仿宋" w:cs="仿宋"/>
                <w:color w:val="auto"/>
                <w:sz w:val="24"/>
                <w:szCs w:val="32"/>
                <w:lang w:val="en-US" w:eastAsia="zh-CN"/>
              </w:rPr>
              <w:t xml:space="preserve">  </w:t>
            </w:r>
            <w:r>
              <w:rPr>
                <w:rFonts w:hint="eastAsia" w:ascii="仿宋" w:hAnsi="仿宋" w:eastAsia="仿宋" w:cs="仿宋"/>
                <w:color w:val="auto"/>
                <w:sz w:val="24"/>
                <w:szCs w:val="32"/>
              </w:rPr>
              <w:t>日</w:t>
            </w:r>
          </w:p>
        </w:tc>
      </w:tr>
    </w:tbl>
    <w:p>
      <w:pPr>
        <w:pStyle w:val="6"/>
        <w:rPr>
          <w:rFonts w:hint="eastAsia"/>
        </w:rPr>
      </w:pPr>
    </w:p>
    <w:p>
      <w:pPr>
        <w:spacing w:line="4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 xml:space="preserve">   </w:t>
      </w:r>
      <w:r>
        <w:rPr>
          <w:rFonts w:hint="eastAsia" w:ascii="仿宋" w:hAnsi="仿宋" w:eastAsia="仿宋" w:cs="仿宋"/>
          <w:color w:val="auto"/>
          <w:sz w:val="28"/>
          <w:szCs w:val="28"/>
        </w:rPr>
        <w:tab/>
      </w:r>
      <w:r>
        <w:rPr>
          <w:rFonts w:hint="eastAsia" w:ascii="仿宋" w:hAnsi="仿宋" w:eastAsia="仿宋" w:cs="仿宋"/>
          <w:color w:val="auto"/>
          <w:sz w:val="28"/>
          <w:szCs w:val="28"/>
        </w:rPr>
        <w:tab/>
      </w:r>
      <w:r>
        <w:rPr>
          <w:rFonts w:hint="eastAsia" w:ascii="仿宋" w:hAnsi="仿宋" w:eastAsia="仿宋" w:cs="仿宋"/>
          <w:color w:val="auto"/>
          <w:sz w:val="28"/>
          <w:szCs w:val="28"/>
        </w:rPr>
        <w:tab/>
      </w:r>
      <w:r>
        <w:rPr>
          <w:rFonts w:hint="eastAsia" w:ascii="仿宋" w:hAnsi="仿宋" w:eastAsia="仿宋" w:cs="仿宋"/>
          <w:color w:val="auto"/>
          <w:sz w:val="28"/>
          <w:szCs w:val="28"/>
        </w:rPr>
        <w:t xml:space="preserve">      </w:t>
      </w:r>
    </w:p>
    <w:p>
      <w:pPr>
        <w:spacing w:line="4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 xml:space="preserve">           </w:t>
      </w:r>
    </w:p>
    <w:p>
      <w:pPr>
        <w:rPr>
          <w:rFonts w:hint="eastAsia" w:ascii="仿宋" w:hAnsi="仿宋" w:eastAsia="仿宋" w:cs="仿宋"/>
          <w:sz w:val="22"/>
          <w:szCs w:val="28"/>
        </w:rPr>
      </w:pPr>
      <w:r>
        <w:rPr>
          <w:rFonts w:hint="eastAsia" w:ascii="仿宋" w:hAnsi="仿宋" w:eastAsia="仿宋" w:cs="仿宋"/>
          <w:color w:val="auto"/>
          <w:sz w:val="28"/>
          <w:szCs w:val="28"/>
        </w:rPr>
        <w:t xml:space="preserve">        </w:t>
      </w: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sectPr>
      <w:footerReference r:id="rId6" w:type="default"/>
      <w:pgSz w:w="11906" w:h="16838"/>
      <w:pgMar w:top="1440" w:right="1134" w:bottom="1440" w:left="1134"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7"/>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7"/>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B5943DCB"/>
    <w:multiLevelType w:val="singleLevel"/>
    <w:tmpl w:val="B5943DCB"/>
    <w:lvl w:ilvl="0" w:tentative="0">
      <w:start w:val="1"/>
      <w:numFmt w:val="decimal"/>
      <w:suff w:val="nothing"/>
      <w:lvlText w:val="%1、"/>
      <w:lvlJc w:val="left"/>
    </w:lvl>
  </w:abstractNum>
  <w:abstractNum w:abstractNumId="2">
    <w:nsid w:val="CC08FA65"/>
    <w:multiLevelType w:val="singleLevel"/>
    <w:tmpl w:val="CC08FA65"/>
    <w:lvl w:ilvl="0" w:tentative="0">
      <w:start w:val="3"/>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66"/>
  <w:displayHorizontalDrawingGridEvery w:val="1"/>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0172A27"/>
    <w:rsid w:val="00E251DC"/>
    <w:rsid w:val="03496C6C"/>
    <w:rsid w:val="052F3AB7"/>
    <w:rsid w:val="06AA22E5"/>
    <w:rsid w:val="0EF63374"/>
    <w:rsid w:val="11672464"/>
    <w:rsid w:val="12853ED2"/>
    <w:rsid w:val="12BE79B8"/>
    <w:rsid w:val="134768DF"/>
    <w:rsid w:val="14224BF0"/>
    <w:rsid w:val="161B669A"/>
    <w:rsid w:val="192B21B3"/>
    <w:rsid w:val="19E5114C"/>
    <w:rsid w:val="228611E2"/>
    <w:rsid w:val="241724D8"/>
    <w:rsid w:val="25CE1DB0"/>
    <w:rsid w:val="269D68CA"/>
    <w:rsid w:val="26C1795C"/>
    <w:rsid w:val="29AC390A"/>
    <w:rsid w:val="2BE21A2F"/>
    <w:rsid w:val="2FAD1DCC"/>
    <w:rsid w:val="300C3A87"/>
    <w:rsid w:val="31197F4E"/>
    <w:rsid w:val="33426DD3"/>
    <w:rsid w:val="34086058"/>
    <w:rsid w:val="360C0D29"/>
    <w:rsid w:val="361719C1"/>
    <w:rsid w:val="370D2B2E"/>
    <w:rsid w:val="37512F06"/>
    <w:rsid w:val="40E964C7"/>
    <w:rsid w:val="43F754F6"/>
    <w:rsid w:val="462772E2"/>
    <w:rsid w:val="47044A64"/>
    <w:rsid w:val="499910CF"/>
    <w:rsid w:val="4BFA3450"/>
    <w:rsid w:val="4D492641"/>
    <w:rsid w:val="4F59011B"/>
    <w:rsid w:val="50CA2BBB"/>
    <w:rsid w:val="51B015CD"/>
    <w:rsid w:val="523F2F8C"/>
    <w:rsid w:val="557038BD"/>
    <w:rsid w:val="57752E80"/>
    <w:rsid w:val="57C16B81"/>
    <w:rsid w:val="5FC15772"/>
    <w:rsid w:val="5FC15FA1"/>
    <w:rsid w:val="6104037C"/>
    <w:rsid w:val="63E814D0"/>
    <w:rsid w:val="64047E51"/>
    <w:rsid w:val="6433714F"/>
    <w:rsid w:val="64656A2B"/>
    <w:rsid w:val="64A02C3B"/>
    <w:rsid w:val="65D57BE0"/>
    <w:rsid w:val="6A8D0A8A"/>
    <w:rsid w:val="6D4E5FC4"/>
    <w:rsid w:val="6D860727"/>
    <w:rsid w:val="71494FDF"/>
    <w:rsid w:val="732E26DE"/>
    <w:rsid w:val="740F66D5"/>
    <w:rsid w:val="751E451A"/>
    <w:rsid w:val="752545CE"/>
    <w:rsid w:val="769B58D2"/>
    <w:rsid w:val="7B965B1F"/>
    <w:rsid w:val="7C6E599F"/>
    <w:rsid w:val="7CEB202E"/>
    <w:rsid w:val="7DC87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9"/>
    <w:pPr>
      <w:keepNext/>
      <w:keepLines/>
      <w:spacing w:before="260" w:after="260" w:line="416" w:lineRule="auto"/>
      <w:outlineLvl w:val="1"/>
    </w:pPr>
    <w:rPr>
      <w:rFonts w:ascii="Arial" w:hAnsi="Arial" w:eastAsia="黑体"/>
      <w:b/>
      <w:bCs/>
      <w:kern w:val="0"/>
      <w:sz w:val="32"/>
      <w:szCs w:val="32"/>
    </w:rPr>
  </w:style>
  <w:style w:type="paragraph" w:styleId="2">
    <w:name w:val="heading 3"/>
    <w:basedOn w:val="1"/>
    <w:next w:val="1"/>
    <w:semiHidden/>
    <w:unhideWhenUsed/>
    <w:qFormat/>
    <w:uiPriority w:val="0"/>
    <w:pPr>
      <w:keepNext/>
      <w:keepLines/>
      <w:spacing w:line="500" w:lineRule="exact"/>
      <w:outlineLvl w:val="2"/>
    </w:pPr>
    <w:rPr>
      <w:rFonts w:ascii="Calibri" w:hAnsi="Calibri" w:eastAsia="宋体" w:cs="Times New Roman"/>
      <w:b/>
      <w:szCs w:val="24"/>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5">
    <w:name w:val="Normal Indent"/>
    <w:basedOn w:val="1"/>
    <w:unhideWhenUsed/>
    <w:qFormat/>
    <w:uiPriority w:val="99"/>
    <w:pPr>
      <w:ind w:firstLine="420" w:firstLineChars="200"/>
    </w:pPr>
    <w:rPr>
      <w:rFonts w:asciiTheme="minorHAnsi" w:hAnsiTheme="minorHAnsi" w:eastAsiaTheme="minorEastAsia" w:cstheme="minorBidi"/>
      <w:kern w:val="2"/>
      <w:szCs w:val="22"/>
    </w:rPr>
  </w:style>
  <w:style w:type="paragraph" w:styleId="6">
    <w:name w:val="Body Text"/>
    <w:basedOn w:val="1"/>
    <w:next w:val="1"/>
    <w:autoRedefine/>
    <w:qFormat/>
    <w:uiPriority w:val="0"/>
    <w:rPr>
      <w:rFonts w:ascii="华文中宋" w:eastAsia="华文中宋"/>
      <w:bCs/>
      <w:sz w:val="28"/>
    </w:rPr>
  </w:style>
  <w:style w:type="paragraph" w:styleId="7">
    <w:name w:val="footer"/>
    <w:basedOn w:val="1"/>
    <w:autoRedefine/>
    <w:qFormat/>
    <w:uiPriority w:val="99"/>
    <w:pPr>
      <w:tabs>
        <w:tab w:val="center" w:pos="4153"/>
        <w:tab w:val="right" w:pos="8306"/>
      </w:tabs>
      <w:snapToGrid w:val="0"/>
      <w:jc w:val="left"/>
    </w:pPr>
    <w:rPr>
      <w:sz w:val="18"/>
      <w:szCs w:val="20"/>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9">
    <w:name w:val="Normal (Web)"/>
    <w:basedOn w:val="1"/>
    <w:qFormat/>
    <w:uiPriority w:val="99"/>
    <w:pPr>
      <w:spacing w:beforeAutospacing="1" w:afterAutospacing="1"/>
      <w:jc w:val="left"/>
    </w:pPr>
    <w:rPr>
      <w:kern w:val="0"/>
      <w:sz w:val="24"/>
    </w:rPr>
  </w:style>
  <w:style w:type="paragraph" w:styleId="10">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autoRedefine/>
    <w:qFormat/>
    <w:uiPriority w:val="0"/>
  </w:style>
  <w:style w:type="paragraph" w:customStyle="1" w:styleId="15">
    <w:name w:val="引用1"/>
    <w:next w:val="1"/>
    <w:qFormat/>
    <w:uiPriority w:val="0"/>
    <w:pPr>
      <w:wordWrap w:val="0"/>
      <w:spacing w:before="200" w:after="160" w:line="252" w:lineRule="auto"/>
      <w:ind w:left="864" w:right="864"/>
      <w:jc w:val="center"/>
    </w:pPr>
    <w:rPr>
      <w:rFonts w:ascii="Calibri" w:hAnsi="Calibri" w:eastAsia="宋体" w:cs="Times New Roman"/>
      <w:i/>
      <w:sz w:val="22"/>
      <w:lang w:val="en-US" w:eastAsia="zh-CN" w:bidi="ar-SA"/>
    </w:rPr>
  </w:style>
  <w:style w:type="character" w:customStyle="1" w:styleId="16">
    <w:name w:val="font01"/>
    <w:basedOn w:val="13"/>
    <w:autoRedefine/>
    <w:qFormat/>
    <w:uiPriority w:val="0"/>
    <w:rPr>
      <w:rFonts w:hint="eastAsia" w:ascii="宋体" w:hAnsi="宋体" w:eastAsia="宋体" w:cs="宋体"/>
      <w:color w:val="000000"/>
      <w:sz w:val="22"/>
      <w:szCs w:val="22"/>
      <w:u w:val="none"/>
    </w:rPr>
  </w:style>
  <w:style w:type="character" w:customStyle="1" w:styleId="17">
    <w:name w:val="font61"/>
    <w:basedOn w:val="13"/>
    <w:autoRedefine/>
    <w:qFormat/>
    <w:uiPriority w:val="0"/>
    <w:rPr>
      <w:rFonts w:hint="eastAsia" w:ascii="宋体" w:hAnsi="宋体" w:eastAsia="宋体" w:cs="宋体"/>
      <w:color w:val="FF0000"/>
      <w:sz w:val="22"/>
      <w:szCs w:val="22"/>
      <w:u w:val="none"/>
    </w:rPr>
  </w:style>
  <w:style w:type="character" w:customStyle="1" w:styleId="18">
    <w:name w:val="font51"/>
    <w:basedOn w:val="13"/>
    <w:autoRedefine/>
    <w:qFormat/>
    <w:uiPriority w:val="0"/>
    <w:rPr>
      <w:rFonts w:hint="eastAsia" w:ascii="宋体" w:hAnsi="宋体" w:eastAsia="宋体" w:cs="宋体"/>
      <w:color w:val="000000"/>
      <w:sz w:val="20"/>
      <w:szCs w:val="20"/>
      <w:u w:val="none"/>
    </w:rPr>
  </w:style>
  <w:style w:type="character" w:customStyle="1" w:styleId="19">
    <w:name w:val="font71"/>
    <w:basedOn w:val="13"/>
    <w:autoRedefine/>
    <w:qFormat/>
    <w:uiPriority w:val="0"/>
    <w:rPr>
      <w:rFonts w:hint="eastAsia" w:ascii="宋体" w:hAnsi="宋体" w:eastAsia="宋体" w:cs="宋体"/>
      <w:color w:val="FF0000"/>
      <w:sz w:val="20"/>
      <w:szCs w:val="20"/>
      <w:u w:val="none"/>
    </w:rPr>
  </w:style>
  <w:style w:type="table" w:customStyle="1" w:styleId="20">
    <w:name w:val="Table Normal"/>
    <w:autoRedefine/>
    <w:unhideWhenUsed/>
    <w:qFormat/>
    <w:uiPriority w:val="0"/>
    <w:tblPr>
      <w:tblCellMar>
        <w:top w:w="0" w:type="dxa"/>
        <w:left w:w="0" w:type="dxa"/>
        <w:bottom w:w="0" w:type="dxa"/>
        <w:right w:w="0" w:type="dxa"/>
      </w:tblCellMar>
    </w:tblPr>
  </w:style>
  <w:style w:type="paragraph" w:customStyle="1" w:styleId="21">
    <w:name w:val="02、首行缩进2字符正文"/>
    <w:basedOn w:val="1"/>
    <w:qFormat/>
    <w:uiPriority w:val="0"/>
    <w:pPr>
      <w:tabs>
        <w:tab w:val="left" w:pos="0"/>
      </w:tabs>
      <w:wordWrap w:val="0"/>
      <w:topLinePunct/>
      <w:ind w:firstLine="480" w:firstLineChars="200"/>
    </w:pPr>
    <w:rPr>
      <w:rFonts w:hAnsi="宋体" w:cs="Times New Roman"/>
      <w:szCs w:val="20"/>
    </w:rPr>
  </w:style>
  <w:style w:type="paragraph" w:styleId="22">
    <w:name w:val="List Paragraph"/>
    <w:basedOn w:val="1"/>
    <w:qFormat/>
    <w:uiPriority w:val="34"/>
    <w:pPr>
      <w:ind w:firstLine="420" w:firstLineChars="200"/>
    </w:pPr>
  </w:style>
  <w:style w:type="paragraph" w:customStyle="1" w:styleId="23">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11580</Words>
  <Characters>12244</Characters>
  <Lines>0</Lines>
  <Paragraphs>0</Paragraphs>
  <TotalTime>9</TotalTime>
  <ScaleCrop>false</ScaleCrop>
  <LinksUpToDate>false</LinksUpToDate>
  <CharactersWithSpaces>12841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2024-02-22T06:22:00Z</cp:lastPrinted>
  <dcterms:modified xsi:type="dcterms:W3CDTF">2024-07-30T09:10:55Z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76C9A4773B63434B9FC51B57D37D2DB1_11</vt:lpwstr>
  </property>
</Properties>
</file>