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4" w:lineRule="exact"/>
        <w:rPr>
          <w:rFonts w:ascii="仿宋" w:hAnsi="仿宋" w:eastAsia="仿宋" w:cs="仿宋"/>
          <w:sz w:val="32"/>
          <w:szCs w:val="32"/>
          <w:lang w:eastAsia="zh-CN"/>
        </w:rPr>
      </w:pPr>
      <w:r>
        <w:rPr>
          <w:rFonts w:hint="eastAsia" w:ascii="仿宋" w:hAnsi="仿宋" w:eastAsia="仿宋" w:cs="仿宋"/>
          <w:sz w:val="32"/>
          <w:szCs w:val="32"/>
          <w:lang w:eastAsia="zh-CN"/>
        </w:rPr>
        <w:t>附件1：</w:t>
      </w:r>
    </w:p>
    <w:p>
      <w:pPr>
        <w:spacing w:line="574" w:lineRule="exact"/>
        <w:jc w:val="center"/>
        <w:rPr>
          <w:rFonts w:ascii="仿宋" w:hAnsi="仿宋" w:eastAsia="仿宋" w:cs="仿宋"/>
          <w:sz w:val="44"/>
          <w:szCs w:val="44"/>
          <w:lang w:eastAsia="zh-CN"/>
        </w:rPr>
      </w:pPr>
      <w:r>
        <w:rPr>
          <w:rFonts w:hint="eastAsia" w:ascii="仿宋" w:hAnsi="仿宋" w:eastAsia="仿宋" w:cs="仿宋"/>
          <w:sz w:val="44"/>
          <w:szCs w:val="44"/>
          <w:lang w:eastAsia="zh-CN"/>
        </w:rPr>
        <w:t>招标须知</w:t>
      </w:r>
    </w:p>
    <w:p>
      <w:pPr>
        <w:spacing w:line="574" w:lineRule="exact"/>
        <w:ind w:firstLine="640" w:firstLineChars="200"/>
        <w:rPr>
          <w:rFonts w:ascii="仿宋" w:hAnsi="仿宋" w:eastAsia="仿宋" w:cs="仿宋"/>
          <w:sz w:val="32"/>
          <w:szCs w:val="32"/>
          <w:lang w:eastAsia="zh-CN"/>
        </w:rPr>
      </w:pPr>
      <w:r>
        <w:rPr>
          <w:rFonts w:hint="eastAsia" w:ascii="黑体" w:hAnsi="黑体" w:eastAsia="黑体" w:cs="黑体"/>
          <w:sz w:val="32"/>
          <w:szCs w:val="32"/>
          <w:lang w:eastAsia="zh-CN"/>
        </w:rPr>
        <w:t>一、项目概述</w:t>
      </w:r>
      <w:r>
        <w:rPr>
          <w:rFonts w:hint="eastAsia" w:ascii="仿宋" w:hAnsi="仿宋" w:eastAsia="仿宋" w:cs="仿宋"/>
          <w:sz w:val="32"/>
          <w:szCs w:val="32"/>
          <w:lang w:eastAsia="zh-CN"/>
        </w:rPr>
        <w:t>：</w:t>
      </w:r>
    </w:p>
    <w:p>
      <w:pPr>
        <w:spacing w:line="574"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为故居公司甄选一家单位实施“江油大剧院三楼剧场舞台扩声、灯光及观众厅照明系统改造项目”。</w:t>
      </w:r>
    </w:p>
    <w:p>
      <w:pPr>
        <w:numPr>
          <w:ilvl w:val="0"/>
          <w:numId w:val="1"/>
        </w:numPr>
        <w:spacing w:line="574"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rPr>
        <w:t>采购项目标的</w:t>
      </w:r>
      <w:r>
        <w:rPr>
          <w:rFonts w:hint="eastAsia" w:ascii="黑体" w:hAnsi="黑体" w:eastAsia="黑体" w:cs="黑体"/>
          <w:sz w:val="32"/>
          <w:szCs w:val="32"/>
          <w:lang w:eastAsia="zh-CN"/>
        </w:rPr>
        <w:t>内容：</w:t>
      </w:r>
    </w:p>
    <w:p>
      <w:pPr>
        <w:spacing w:line="574"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新增及更换部分舞台扩声系统、舞台灯光系统以及观众厅照明系统。</w:t>
      </w:r>
    </w:p>
    <w:p>
      <w:pPr>
        <w:spacing w:line="574"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参数、参考品牌机明显详见下表：改造清单</w:t>
      </w:r>
    </w:p>
    <w:p>
      <w:pPr>
        <w:spacing w:line="574" w:lineRule="exact"/>
        <w:ind w:firstLine="640" w:firstLineChars="200"/>
        <w:rPr>
          <w:rFonts w:ascii="仿宋" w:hAnsi="仿宋" w:eastAsia="仿宋" w:cs="仿宋"/>
          <w:sz w:val="32"/>
          <w:szCs w:val="32"/>
          <w:lang w:eastAsia="zh-CN"/>
        </w:rPr>
      </w:pPr>
    </w:p>
    <w:p>
      <w:pPr>
        <w:spacing w:line="574" w:lineRule="exact"/>
        <w:ind w:firstLine="640" w:firstLineChars="200"/>
        <w:rPr>
          <w:rFonts w:ascii="仿宋" w:hAnsi="仿宋" w:eastAsia="仿宋" w:cs="仿宋"/>
          <w:sz w:val="32"/>
          <w:szCs w:val="32"/>
          <w:lang w:eastAsia="zh-CN"/>
        </w:rPr>
        <w:sectPr>
          <w:footerReference r:id="rId3" w:type="default"/>
          <w:pgSz w:w="11906" w:h="16838"/>
          <w:pgMar w:top="1440" w:right="1803" w:bottom="1440" w:left="1803" w:header="851" w:footer="992" w:gutter="0"/>
          <w:cols w:space="0" w:num="1"/>
          <w:docGrid w:type="lines" w:linePitch="332" w:charSpace="0"/>
        </w:sectPr>
      </w:pPr>
    </w:p>
    <w:p>
      <w:pPr>
        <w:spacing w:line="574"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改造清单</w:t>
      </w:r>
    </w:p>
    <w:tbl>
      <w:tblPr>
        <w:tblStyle w:val="11"/>
        <w:tblW w:w="0" w:type="auto"/>
        <w:tblInd w:w="93" w:type="dxa"/>
        <w:shd w:val="clear" w:color="auto" w:fill="auto"/>
        <w:tblLayout w:type="autofit"/>
        <w:tblCellMar>
          <w:top w:w="0" w:type="dxa"/>
          <w:left w:w="108" w:type="dxa"/>
          <w:bottom w:w="0" w:type="dxa"/>
          <w:right w:w="108" w:type="dxa"/>
        </w:tblCellMar>
      </w:tblPr>
      <w:tblGrid>
        <w:gridCol w:w="445"/>
        <w:gridCol w:w="1468"/>
        <w:gridCol w:w="6533"/>
        <w:gridCol w:w="530"/>
        <w:gridCol w:w="445"/>
        <w:gridCol w:w="2227"/>
        <w:gridCol w:w="1216"/>
        <w:gridCol w:w="1217"/>
      </w:tblGrid>
      <w:tr>
        <w:tblPrEx>
          <w:shd w:val="clear" w:color="auto" w:fill="auto"/>
          <w:tblCellMar>
            <w:top w:w="0" w:type="dxa"/>
            <w:left w:w="108" w:type="dxa"/>
            <w:bottom w:w="0" w:type="dxa"/>
            <w:right w:w="108" w:type="dxa"/>
          </w:tblCellMar>
        </w:tblPrEx>
        <w:trPr>
          <w:trHeight w:val="420"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sz w:val="20"/>
                <w:szCs w:val="20"/>
                <w:lang w:eastAsia="zh-CN" w:bidi="ar-SA"/>
              </w:rPr>
            </w:pPr>
            <w:r>
              <w:rPr>
                <w:rFonts w:hint="eastAsia" w:ascii="宋体" w:hAnsi="宋体" w:eastAsia="宋体" w:cs="宋体"/>
                <w:b/>
                <w:bCs/>
                <w:color w:val="000000"/>
                <w:sz w:val="20"/>
                <w:szCs w:val="20"/>
                <w:lang w:eastAsia="zh-CN" w:bidi="ar-SA"/>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sz w:val="20"/>
                <w:szCs w:val="20"/>
                <w:lang w:eastAsia="zh-CN" w:bidi="ar-SA"/>
              </w:rPr>
            </w:pPr>
            <w:r>
              <w:rPr>
                <w:rFonts w:hint="eastAsia" w:ascii="宋体" w:hAnsi="宋体" w:eastAsia="宋体" w:cs="宋体"/>
                <w:b/>
                <w:bCs/>
                <w:color w:val="000000"/>
                <w:sz w:val="20"/>
                <w:szCs w:val="20"/>
                <w:lang w:eastAsia="zh-CN" w:bidi="ar-SA"/>
              </w:rPr>
              <w:t>设备名称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参数要求</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数量</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参考品牌</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预算单价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合计金额</w:t>
            </w:r>
          </w:p>
        </w:tc>
      </w:tr>
      <w:tr>
        <w:tblPrEx>
          <w:tblCellMar>
            <w:top w:w="0" w:type="dxa"/>
            <w:left w:w="108" w:type="dxa"/>
            <w:bottom w:w="0" w:type="dxa"/>
            <w:right w:w="108" w:type="dxa"/>
          </w:tblCellMar>
        </w:tblPrEx>
        <w:trPr>
          <w:trHeight w:val="420" w:hRule="atLeast"/>
        </w:trPr>
        <w:tc>
          <w:tcPr>
            <w:tcW w:w="0" w:type="auto"/>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一、舞台扩声系统</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阵列扬声器（声桥左声道）</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54,571.00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109,142.00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阵列扬声器（声桥右声道）</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54,571.00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109,142.00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阵列扬声器（声桥中置声道）</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54,571.00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109,142.00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扬声器连接件</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1.原厂垂直组合吊装配件，钢材防锈处理，喷塑；</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2.与阵列扬声器同品牌</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709.00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4,254.00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二分频扬声器（拉声向）</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1.低音单元≥1*15寸，可旋转号角；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4.整组垂直角度：≥60°且≤80°;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5.▲单只最大声压级：≥138dB；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6.功率/阻抗：≥600W@8Ω；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20,902.00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41,804.00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双18"超低频音箱</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1.低音单元≥2X18"；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2.频响范围下限≤28Hz；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3.▲单只最大声压级≥：141dB；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5.功率/阻抗：≥低频1/低频2：1400W@4Ω；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低频1，低频2：700W@8Ω；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6.驱动模式：单路/双路功放驱动；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52,931.00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211,724.00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舞台流动返送扬声器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1.低音单元≥1*12寸；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2.频响范围：≤80Hz-≥20kHz；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4.整组垂直角度：≥90°且≤100°;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5.▲单只最大声压级：≥134dB；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6.灵敏度：≥105dB；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7.功率/阻抗：≥200WRMS/8欧姆；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9,441.00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37,764.00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两分频全频扬声器（一层眺台下补声）</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1.低音单元≥1*6.5寸，可旋转号角；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2.频响范围：≤70Hz-≥20kHz；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5.单只最大声压级：≥123dB；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7.功率/阻抗：≥100W/8欧姆；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4,982.00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19,928.00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8"两分频全频扬声器（一层效果声）</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1.低音单元≥1*8寸，可旋转号角；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7.功率/阻抗：≥150W/8欧姆；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4,262.00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17,048.00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8"两分频全频扬声器（二层效果声）</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1.低音单元≥1*8寸，可旋转号角；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7.功率/阻抗：≥150W/8欧姆；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L-Acoustics，Adamson ,EAW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4,262.00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17,048.00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13.输出电压10V～90V功能，可调步进5V。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16.▲失真限制的输出功率：≥1000W（8Ω)；1600W（4Ω)；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ezacoustics，Adamson ,Powersoft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20,352.00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40,704.00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13.输出电压10V～90V功能，可调步进5V。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16.▲失真限制的输出功率：≥1000W（8Ω)；1600W（4Ω)；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ezacoustics，Adamson ,Powersoft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20,352.00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40,704.00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4.支持定压和定阻两种输出模式（通过通道桥接实现70V定压驱动）。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带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13.输出电压10V～50V功能，可调步进5V。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16.▲失真限制的输出功率：≥300W（8Ω）；≥500W（4Ω）；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ezacoustics，Adamson ,Powersoft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16,112.00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32,224.00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4.支持定压和定阻两种输出模式（通过通道桥接实现70V定压驱动）。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带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13.输出电压10V～50V功能，可调步进5V。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16.▲失真限制的输出功率：≥300W（8Ω）；≥500W（4Ω）；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ezacoustics，Adamson ,Powersoft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16,112.00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32,224.00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数字调音台</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1.XCVI处理核心，FPGA处理技术，系统延迟≤0.7ms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2.≥32个电动推子，有6页，共192+1个推子；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3.≥16个自定义按键；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4.≥8个自定义旋钮；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5.全处理输入通道48路，全处理输出通道32路；</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6.≥7“触摸屏；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7.≥32路单声道输入；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8.≥16路单声道输出；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9.≥1个AES数字立体声输出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10.≥1个I/Oprot卡槽（用来扩展DanteWaves等扩展卡）</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11.≥32X32USB多轨录音/回放；</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12.1/3倍频程频谱实时分析；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13.≥8个静音/DCA编组；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14.≥8路立体声效果器输出及专用效果器返回；</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ALLEN&amp;HEATH、MIDAS、Soundcraft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59,996.00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59,996.00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接口箱</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1.≥24路XLR话筒或线路输入；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2.≥12路XLR线路输出；</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ALLEN&amp;HEATH、MIDAS、Soundcraft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18,444.00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18,444.00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Dante卡</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≥64路双向音频传输，通过CAT5控制可兼容矩阵处理器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≥96K/48KHz切换</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自动获取IP地址并自动识别；</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端口冗余网络选项；</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≥千兆网口；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连接到电脑进行多轨录音／回放；</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支持DANTE的虚拟声卡软件；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支持DANTE的控制器软件用于设置网络；</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张</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ALLEN&amp;HEATH、MIDAS、Soundcraft</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11,342.00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11,342.00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中控型电源时序器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1.▲可通过红外学习功能及IO控制功能对第三方设备进行控制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 xml:space="preserve">2.▲设备内置远程控制，让用户能随时随地的对设备进行开启关闭操作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3.▲1至4路为国际10A安全划盖插座，5至8路为国际16A安全划盖插座，面板两个直通为国际10A安全划盖插座。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4.▲≥8通道独立控制的时序通道，8通道独立常开软件控制，8通道独立硬件开关式应急停止设置。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5.▲远程控制接口：RS485、RS232、TCP/IP、USB3.0、USB2.0、线控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6.▲密码功能：可设置6位数字、字母、符号密码分功能选择锁定</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EAJAX,LAX,HUAIN</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2,523.00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10,092.00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千兆交换机</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1.≥24个10/100/1000Base-T以太网端口，4个100/1000 SFP，4个千兆SFP；含光纤模块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华为、锐捷、华三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3,074.00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3,074.00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单通道数字无线接收机</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1.≥82 MHz调谐带宽；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2.单一频段≥77个预设兼容通道；</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3.每个6MHz电视频道支持≥17个兼容系统；每个8 MHz通道支持≥22个系统；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4.红外同步部署发射机的选定频率；</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5.安全无线传输AES-256位加密；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6.≥60dB可调音频增益；</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6,254.00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62,540.00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腰包发射机</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1.输入接口：≥4针微型公接头（TA4M）；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2.输入阻抗：1MΩ；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3.最大输入电平：8.5 dBV (1% THD 下 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4.前置放大器等效输入噪声（EIN）：-120 dBV；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5.发射功率：1 mW 或 10 mW；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3,498.00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34,980.00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头戴话筒</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1.传感器类型: 电容；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2.拾音模式: 心形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3.频率响应自: ≥40 Hz-≤20 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4.灵敏度 (dBV/Pa): ≥-59 dBV/Pa；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1,696.00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10,176.00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领夹话筒</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1.与发射机配套；</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2.微型领夹式全指向性电容话筒；</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1,166.00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4,664.00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锂电池</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1.与发射机配套；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1,060.00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10,600.00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充电底座</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1.充电器，可为2只腰包发射机充电；</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3,498.00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17,490.00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天线分配器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1.≥5路有源天线分配器和配电系统；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2.频率范围：470-960 MHz；</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4,346.00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8,692.00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有源指向性天线</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1.天线增益: 7.5 dB , 3 dB束宽: 70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 xml:space="preserve">2.信号增益：四档 +12 dB, +6 dB, 0 dB, </w:t>
            </w:r>
            <w:r>
              <w:rPr>
                <w:rFonts w:hint="eastAsia" w:ascii="MS Gothic" w:hAnsi="MS Gothic" w:eastAsia="MS Gothic" w:cs="MS Gothic"/>
                <w:sz w:val="20"/>
                <w:szCs w:val="20"/>
                <w:lang w:eastAsia="zh-CN" w:bidi="ar-SA"/>
              </w:rPr>
              <w:t>−</w:t>
            </w:r>
            <w:r>
              <w:rPr>
                <w:rFonts w:hint="eastAsia" w:ascii="宋体" w:hAnsi="宋体" w:eastAsia="宋体" w:cs="宋体"/>
                <w:sz w:val="20"/>
                <w:szCs w:val="20"/>
                <w:lang w:eastAsia="zh-CN" w:bidi="ar-SA"/>
              </w:rPr>
              <w:t>6 dB；</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Shure、Sennheiser、Audio-Technica</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3,392.00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6,784.00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 800*600；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4,240.00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8,480.00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桌面音源机柜</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单个机柜可收纳2套领夹或头戴话筒；</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954.00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954.00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桥架、管材、线材及接插件</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桥架、管材、电源线、信号线、麦克风线、网线、扬声器专用线、接插件、灯勾、多讯道控制线缆、接线盒等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85,860.00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85,860.00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工程安装中其它辅助材料</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工程安装中其它辅助材料,机柜基础、标识纸、扎带、PDU插座等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5,300.00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5,300.00</w:t>
            </w:r>
          </w:p>
        </w:tc>
      </w:tr>
      <w:tr>
        <w:tblPrEx>
          <w:tblCellMar>
            <w:top w:w="0" w:type="dxa"/>
            <w:left w:w="108" w:type="dxa"/>
            <w:bottom w:w="0" w:type="dxa"/>
            <w:right w:w="108" w:type="dxa"/>
          </w:tblCellMar>
        </w:tblPrEx>
        <w:trPr>
          <w:trHeight w:val="420" w:hRule="atLeast"/>
        </w:trPr>
        <w:tc>
          <w:tcPr>
            <w:tcW w:w="0" w:type="auto"/>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二、舞台灯光系统</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6色变焦摇头染色灯（一面）</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7,950.00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63,600.00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6色变焦摇头染色灯（二面）</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7,950.00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63,600.00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600WLED智能图案切割灯（面光）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1、不少于三种通道模式：37CH/41CH/50CH；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2、▲光源：≥600WLED白光模组，色温：≥7000k，灯具输出光通量≥23500lm；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3、▲颜色盘：≥6个固定色片+白光、CMY无极混色、CTO色温，固定图案盘：≥8个图案+白光，旋转图案盘：≥6个可拆卸图案+白光；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4、棱镜：一个四棱镜，可正反旋转，雾化：线性雾化功能；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6、出光角度：6-42°，光圈：机械式线性光圈，光斑大小可调；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7、▲切割器：四片式全程图形切割模块，切割图案可180°旋转；</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10、▲USB：支持不通电的情况操作菜单，也可做软件升级外置接口；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18,020.00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108,120.00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LED变焦聚光灯（侧光）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1、光源：≥200LED灯珠，色温3200K/5600K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2、▲显色性指数：Ra≥95，R9≥90，R15≥90，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3、调光:0~100线性可调，控制面板：LCD显示屏+四按键，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4、调焦：15-60度可调；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5、光学系统：非球面镜加菲涅尔透镜，具有闪烁光源管理系统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3,180.00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38,160.00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LED变焦聚光灯（耳光）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1、光源：≥200LED灯珠，色温3200K/5600K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2、▲显色性指数：Ra≥95，R9≥90，R15≥90，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3、调光:0~100线性可调，控制面板：LCD显示屏+四按键，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4、调焦：15-60度可调；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5、光学系统：非球面镜加菲涅尔透镜，具有闪烁光源管理系统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3,180.00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38,160.00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LED平板会议灯（顶光）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1、▲光源：≥576颗0.5w贴片高显指LED阵列，色温：3200K/5600K/3200-5600K可调，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2、▲显色指数：Ra≥95，R9≥90，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3、调光：0-100%线性调光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4、▲光東角度：≥120°，中心照度(3米投射距离)，中心照度值&gt;300lx（3200K）,中心照度值&gt;420lx（4200K）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5、采用超大散热片空气对流自然散热，无风扇全静音</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2,226.00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40,068.00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600WLED智能图案切割灯（顶逆光）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1、不少于三种通道模式：37CH/41CH/50CH；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2、▲光源：≥600WLED白光模组，色温：≥7000k，灯具输出光通量≥23500lm；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3、▲颜色盘：≥6个固定色片+白光、CMY无极混色、CTO色温，固定图案盘：≥8个图案+白光，旋转图案盘：≥6个可拆卸图案+白光；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4、棱镜：一个四棱镜，可正反旋转，雾化：线性雾化功能；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6、出光角度：6-42°，光圈：机械式线性光圈，光斑大小可调；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7、▲切割器：四片式全程图形切割模块，切割图案可180°旋转；</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10、▲USB：支持不通电的情况操作菜单，也可做软件升级外置接口；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18,020.00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432,480.00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6色变焦摇头染色灯（顶光）</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7,950.00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286,200.00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电脑摇头光束灯</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1、不少于三种通道模式：16CH/20CH/31CH；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2、▲光源：不低于OSRAM420W，灯具输出光通量≥12700lm，10米照度≥360000Lx；</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3、颜色盘：≥14颜色+白；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4、▲固定图案盘：≥6个图案+5个光束图案+3个彩色玻璃图案；</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4、棱镜：1个8棱镜，一个双层棱镜（6棱镜+12棱镜）；</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6、光束角度：2°，光圈：机械式线性光圈，光斑大小可调；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9、▲灯具具有一个RJ45接口，支持通过标准协议对灯具进行控制并读取灯具状态数据：温度、风机等参数。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6,360.00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50,880.00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LED追光灯</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1、光源：LED白光模组；光源寿命：≥20000小时；整机光通量总输出：≥13000lm；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2、调焦：5-11°线性调焦；</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3、调光：0-100%线性调光；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4、光圈：大小任意可调；均匀度：98%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5、色温：2700K-6500K（线性可调）颜色盘：5色+白光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6、控制方式：控制推杠线性调节</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珠江、JMY、XMLITE、MONON、明道</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15,900.00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31,800.00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双雾化雾机</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 输出量：≥2800立方尺/分钟，最大油桶容量：≥3.5升</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 DMX通道：≥1频道，内置控制器：LCD定时控制器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ANGLER、DJPOWER、全亚</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4,346.00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17,384.00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雾机油</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烟色纯白、无味</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≥6瓶/箱，≥1L/瓶</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箱</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ANGLER、DJPOWER、全亚</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742.00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1,484.00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灯光控制台</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≥7个DMX输出/输入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最高可扩展≥65536个通道参数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内置≥2个15.4英寸触摸屏+≥1个9英寸触摸屏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≥15个高精度电动推杆，A/B场电动推杆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≥1个总控电动推杆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≥6个耐磨编码器（带Push）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≥1个高灵敏轨迹球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≥1个高精度调光轮•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Linux操作系统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支持中英文两种语言</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支持多台联机备份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支持手持式远程控制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支持舞台3D效果模拟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实时现场模拟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系统可通过U盘安装</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节目数据可保存在硬盘或U盘</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支持DMX512,Artnet,ACN协议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支持RDM管理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支持Wysiwyg连接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支持LTP和HTP</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支持MIDI时间码和内部时间码</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支持Layout管理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▲具有灯光控制软件著作权证书</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YPL、领焰、MA Lighting</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83,500.00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83,500.00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DMX网络扩展器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实时计算，自带≥8个DMX512输出口，可同时输出≥4096控制参数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≥1个内置触摸式指令屏幕(7”SVGA)</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≥1个千兆以太网接口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≥2个USB2.0连接接口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Linux操作系统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中英文双语种操作界面</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YPL、领焰、MA Lighting</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16,960.00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16,960.00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15</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DMX网络解码器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≥100Mbit/s百兆传输速率.支持≥4096个通道参数.可连接电脑模拟器.与灯光控制台整合一起使用，增加实际物理输出口.支持DMX数据的输入输出.支持所有Art-Net的控制连接使用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支持协议：DMX512,Art-Net.通道参数:4096.内置高性能FPGA处理器.内置百兆高速网络处理器芯片.内置交换机芯片.支持级连功能；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XLR3pinDMX输出≥8个.百兆网口≥2个</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≥1个TFT显示屏</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YPL、领焰、MA Lighting</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3,512.00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7,024.00</w:t>
            </w:r>
          </w:p>
        </w:tc>
      </w:tr>
      <w:tr>
        <w:tblPrEx>
          <w:shd w:val="clear" w:color="auto" w:fill="auto"/>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DMX信号放大器</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≥1路输入，≥8路输出，每路输入输出光电隔离独立，终端电阻开关输出信号LED指示灯；</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标准机架式安装</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输入电压：AC220-240V~,50-60Hz</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YPL、领焰、MA Lighting</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848.00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8,480.00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网络机柜</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42U设备机柜800*600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4,240.00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8,480.00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电源直通柜</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≥630A总空开（三相），≥96路×≥6KW；</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≥96路32A高度灵敏度空气开关，具有过压、过流、过载保护；</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三相总控输入、输出端电源指示；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总零线、总地线铜排输入，独立的输出端子；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数字显示电压、电流表，实时监视三相电流、电压；</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高阻性、大电流接线端子；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适用于感性、容性、阻性负载；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供电：三相五线制AC380V±10%50/60Hz；</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斯全德、CEE、RGB</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32,000.00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32,000.00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19</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安装辅材</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桥架、管材、电源线、DMX信号线、扁形电缆、网线、动力电缆、接插件、灯勾、保险绳、接线盒等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国产优质</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95,400.00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95,400.00</w:t>
            </w:r>
          </w:p>
        </w:tc>
      </w:tr>
      <w:tr>
        <w:tblPrEx>
          <w:tblCellMar>
            <w:top w:w="0" w:type="dxa"/>
            <w:left w:w="108" w:type="dxa"/>
            <w:bottom w:w="0" w:type="dxa"/>
            <w:right w:w="108" w:type="dxa"/>
          </w:tblCellMar>
        </w:tblPrEx>
        <w:trPr>
          <w:trHeight w:val="420" w:hRule="atLeast"/>
        </w:trPr>
        <w:tc>
          <w:tcPr>
            <w:tcW w:w="0" w:type="auto"/>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三、观众厅照明</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LED嵌入式筒灯，功率≥20W，4000K或6500K可选，≥6寸，开孔尺寸15cm（利用原有开孔），显指≥80，光效≥110lm/W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飞利浦、雷士、三雄极光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152.00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1,672.00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LED嵌入式筒灯，功率≥40W，4000K或6500K可选，≥8寸，开孔尺寸20cm（利用原有开孔），显指≥80，光效≥110lm/W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130</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飞利浦、雷士、三雄极光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250.00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32,500.00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LED嵌入式筒灯，功率≥7W，4000K或6500K可选，≥3寸，开孔尺寸9cm（利用原有开孔），显指≥80，光效≥110lm/W</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128</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飞利浦、雷士、三雄极光</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76.00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9,728.00</w:t>
            </w:r>
          </w:p>
        </w:tc>
      </w:tr>
      <w:tr>
        <w:tblPrEx>
          <w:tblCellMar>
            <w:top w:w="0" w:type="dxa"/>
            <w:left w:w="108" w:type="dxa"/>
            <w:bottom w:w="0" w:type="dxa"/>
            <w:right w:w="108" w:type="dxa"/>
          </w:tblCellMar>
        </w:tblPrEx>
        <w:trPr>
          <w:trHeight w:val="42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施工辅材</w:t>
            </w:r>
          </w:p>
        </w:tc>
        <w:tc>
          <w:tcPr>
            <w:tcW w:w="0" w:type="auto"/>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原有灯具拆除、安装施工、各类辅材、满堂脚手架搭建</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项</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250,000.00 </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250,000.00</w:t>
            </w:r>
          </w:p>
        </w:tc>
      </w:tr>
    </w:tbl>
    <w:p>
      <w:pPr>
        <w:pStyle w:val="2"/>
        <w:rPr>
          <w:lang w:eastAsia="zh-CN"/>
        </w:rPr>
      </w:pPr>
    </w:p>
    <w:p>
      <w:pPr>
        <w:spacing w:line="574" w:lineRule="exact"/>
        <w:rPr>
          <w:rFonts w:ascii="仿宋" w:hAnsi="仿宋" w:eastAsia="仿宋" w:cs="仿宋"/>
          <w:b/>
          <w:bCs/>
          <w:sz w:val="32"/>
          <w:szCs w:val="32"/>
          <w:lang w:eastAsia="zh-CN"/>
        </w:rPr>
        <w:sectPr>
          <w:pgSz w:w="16838" w:h="11906" w:orient="landscape"/>
          <w:pgMar w:top="1134" w:right="1440" w:bottom="1134" w:left="1440" w:header="851" w:footer="992" w:gutter="0"/>
          <w:cols w:space="0" w:num="1"/>
          <w:docGrid w:type="lines" w:linePitch="332" w:charSpace="0"/>
        </w:sectPr>
      </w:pPr>
    </w:p>
    <w:p>
      <w:pPr>
        <w:numPr>
          <w:ilvl w:val="0"/>
          <w:numId w:val="1"/>
        </w:numPr>
        <w:spacing w:line="574"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备注</w:t>
      </w:r>
    </w:p>
    <w:p>
      <w:pPr>
        <w:spacing w:line="574"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1.报价需包含人工费、材料费、运输费、装卸费、税金、调试费、安装费等费用；</w:t>
      </w:r>
    </w:p>
    <w:p>
      <w:pPr>
        <w:pStyle w:val="10"/>
        <w:ind w:left="0" w:leftChars="0" w:firstLine="640"/>
        <w:rPr>
          <w:rFonts w:ascii="仿宋" w:hAnsi="仿宋" w:eastAsia="仿宋" w:cs="仿宋"/>
          <w:sz w:val="32"/>
          <w:szCs w:val="32"/>
          <w:lang w:eastAsia="zh-CN"/>
        </w:rPr>
      </w:pPr>
      <w:r>
        <w:rPr>
          <w:rFonts w:hint="eastAsia" w:ascii="仿宋" w:hAnsi="仿宋" w:eastAsia="仿宋" w:cs="仿宋"/>
          <w:sz w:val="32"/>
          <w:szCs w:val="32"/>
          <w:lang w:eastAsia="zh-CN"/>
        </w:rPr>
        <w:t>2.实施内容必须与上述明细表完全吻合。</w:t>
      </w:r>
    </w:p>
    <w:p>
      <w:pPr>
        <w:numPr>
          <w:ilvl w:val="0"/>
          <w:numId w:val="1"/>
        </w:numPr>
        <w:spacing w:line="574"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评分标准</w:t>
      </w:r>
    </w:p>
    <w:tbl>
      <w:tblPr>
        <w:tblStyle w:val="11"/>
        <w:tblW w:w="91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220"/>
        <w:gridCol w:w="486"/>
        <w:gridCol w:w="510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序号</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评分因素及权重</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分值</w:t>
            </w:r>
          </w:p>
        </w:tc>
        <w:tc>
          <w:tcPr>
            <w:tcW w:w="5103" w:type="dxa"/>
            <w:tcBorders>
              <w:top w:val="single" w:color="auto" w:sz="4" w:space="0"/>
              <w:left w:val="single" w:color="auto" w:sz="4" w:space="0"/>
              <w:bottom w:val="single" w:color="auto" w:sz="4" w:space="0"/>
              <w:right w:val="single" w:color="auto" w:sz="4" w:space="0"/>
            </w:tcBorders>
            <w:vAlign w:val="center"/>
          </w:tcPr>
          <w:p>
            <w:r>
              <w:rPr>
                <w:rFonts w:hint="eastAsia"/>
              </w:rPr>
              <w:t>评分标准</w:t>
            </w:r>
          </w:p>
        </w:tc>
        <w:tc>
          <w:tcPr>
            <w:tcW w:w="1843" w:type="dxa"/>
            <w:tcBorders>
              <w:top w:val="single" w:color="auto" w:sz="4" w:space="0"/>
              <w:left w:val="single" w:color="auto" w:sz="4" w:space="0"/>
              <w:bottom w:val="single" w:color="auto" w:sz="4" w:space="0"/>
              <w:right w:val="single" w:color="auto" w:sz="4" w:space="0"/>
            </w:tcBorders>
            <w:vAlign w:val="center"/>
          </w:tcPr>
          <w:p>
            <w:r>
              <w:rPr>
                <w:rFonts w:hint="eastAsia"/>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1</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报价</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30</w:t>
            </w:r>
          </w:p>
        </w:tc>
        <w:tc>
          <w:tcPr>
            <w:tcW w:w="510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以本次有效的最低投标报价为基准价，投标报价得分=(基准价／投标报价)* 30分*100%。</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投标人报价明显偏低，评标委员会认定具有恶性竞争嫌疑，要求其作出解释，其解释被评委会接受，可确定其报价合理；如不被评委会接受，评委会将不予认可，将作为无效投标书处理。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2</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技术指标和配置</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40</w:t>
            </w:r>
          </w:p>
        </w:tc>
        <w:tc>
          <w:tcPr>
            <w:tcW w:w="5103" w:type="dxa"/>
            <w:tcBorders>
              <w:top w:val="single" w:color="auto" w:sz="4" w:space="0"/>
              <w:left w:val="single" w:color="auto" w:sz="4" w:space="0"/>
              <w:bottom w:val="single" w:color="auto" w:sz="4" w:space="0"/>
              <w:right w:val="single" w:color="auto" w:sz="4" w:space="0"/>
            </w:tcBorders>
            <w:vAlign w:val="center"/>
          </w:tcPr>
          <w:p>
            <w:pPr>
              <w:rPr>
                <w:highlight w:val="none"/>
                <w:lang w:eastAsia="zh-CN"/>
              </w:rPr>
            </w:pPr>
            <w:r>
              <w:rPr>
                <w:rFonts w:hint="eastAsia"/>
                <w:lang w:eastAsia="zh-CN"/>
              </w:rPr>
              <w:t>1.供应商所投产品的技术参数完全符合招标文件要求且没有负偏离得40分；供应商所投产品的技术参数</w:t>
            </w:r>
            <w:r>
              <w:rPr>
                <w:rFonts w:hint="eastAsia"/>
                <w:highlight w:val="none"/>
                <w:lang w:eastAsia="zh-CN"/>
              </w:rPr>
              <w:t>不完全符合招标文件要求的，则在40分的基础上，按以下原则扣分：</w:t>
            </w:r>
          </w:p>
          <w:p>
            <w:pPr>
              <w:rPr>
                <w:highlight w:val="none"/>
                <w:lang w:eastAsia="zh-CN"/>
              </w:rPr>
            </w:pPr>
            <w:r>
              <w:rPr>
                <w:rFonts w:hint="eastAsia"/>
                <w:highlight w:val="none"/>
                <w:lang w:eastAsia="zh-CN"/>
              </w:rPr>
              <w:t>2.</w:t>
            </w:r>
            <w:r>
              <w:rPr>
                <w:rFonts w:hint="eastAsia"/>
                <w:highlight w:val="none"/>
                <w:lang w:val="en-US" w:eastAsia="zh-CN"/>
              </w:rPr>
              <w:t>改造清单</w:t>
            </w:r>
            <w:r>
              <w:rPr>
                <w:rFonts w:hint="eastAsia"/>
                <w:highlight w:val="none"/>
                <w:lang w:eastAsia="zh-CN"/>
              </w:rPr>
              <w:t>中带“▲”为重要参数，投标人全部符合要求的得3</w:t>
            </w:r>
            <w:r>
              <w:rPr>
                <w:rFonts w:hint="eastAsia" w:eastAsiaTheme="minorEastAsia"/>
                <w:highlight w:val="none"/>
                <w:lang w:eastAsia="zh-CN"/>
              </w:rPr>
              <w:t>3</w:t>
            </w:r>
            <w:r>
              <w:rPr>
                <w:rFonts w:hint="eastAsia"/>
                <w:highlight w:val="none"/>
                <w:lang w:eastAsia="zh-CN"/>
              </w:rPr>
              <w:t>.5分，每有一项负偏离扣0.5分，共</w:t>
            </w:r>
            <w:r>
              <w:rPr>
                <w:rFonts w:hint="eastAsia" w:eastAsiaTheme="minorEastAsia"/>
                <w:highlight w:val="none"/>
                <w:lang w:eastAsia="zh-CN"/>
              </w:rPr>
              <w:t>67</w:t>
            </w:r>
            <w:r>
              <w:rPr>
                <w:rFonts w:hint="eastAsia"/>
                <w:highlight w:val="none"/>
                <w:lang w:eastAsia="zh-CN"/>
              </w:rPr>
              <w:t xml:space="preserve">条，扣完为止。 </w:t>
            </w:r>
          </w:p>
          <w:p>
            <w:pPr>
              <w:rPr>
                <w:highlight w:val="none"/>
                <w:lang w:eastAsia="zh-CN"/>
              </w:rPr>
            </w:pPr>
            <w:r>
              <w:rPr>
                <w:rFonts w:hint="eastAsia"/>
                <w:highlight w:val="none"/>
                <w:lang w:eastAsia="zh-CN"/>
              </w:rPr>
              <w:t>3.对于</w:t>
            </w:r>
            <w:r>
              <w:rPr>
                <w:rFonts w:hint="eastAsia"/>
                <w:highlight w:val="none"/>
                <w:lang w:val="en-US" w:eastAsia="zh-CN"/>
              </w:rPr>
              <w:t>改造清单</w:t>
            </w:r>
            <w:r>
              <w:rPr>
                <w:rFonts w:hint="eastAsia"/>
                <w:highlight w:val="none"/>
                <w:lang w:eastAsia="zh-CN"/>
              </w:rPr>
              <w:t>中不带“▲”一般参数，投标人全部符合要求的得</w:t>
            </w:r>
            <w:r>
              <w:rPr>
                <w:rFonts w:hint="eastAsia" w:eastAsiaTheme="minorEastAsia"/>
                <w:highlight w:val="none"/>
                <w:lang w:eastAsia="zh-CN"/>
              </w:rPr>
              <w:t>6.5</w:t>
            </w:r>
            <w:r>
              <w:rPr>
                <w:rFonts w:hint="eastAsia"/>
                <w:highlight w:val="none"/>
                <w:lang w:eastAsia="zh-CN"/>
              </w:rPr>
              <w:t>分，每有一项负偏离扣0.</w:t>
            </w:r>
            <w:r>
              <w:rPr>
                <w:rFonts w:hint="eastAsia" w:eastAsiaTheme="minorEastAsia"/>
                <w:highlight w:val="none"/>
                <w:lang w:eastAsia="zh-CN"/>
              </w:rPr>
              <w:t>1</w:t>
            </w:r>
            <w:r>
              <w:rPr>
                <w:rFonts w:hint="eastAsia"/>
                <w:highlight w:val="none"/>
                <w:lang w:eastAsia="zh-CN"/>
              </w:rPr>
              <w:t>分，扣完为止。对应技术要求的最小序号为一项。</w:t>
            </w:r>
          </w:p>
          <w:p>
            <w:pPr>
              <w:rPr>
                <w:lang w:eastAsia="zh-CN"/>
              </w:rPr>
            </w:pPr>
            <w:r>
              <w:rPr>
                <w:rFonts w:hint="eastAsia"/>
                <w:highlight w:val="none"/>
                <w:lang w:eastAsia="zh-CN"/>
              </w:rPr>
              <w:t>注：▲为重要参数须按照要求提供相</w:t>
            </w:r>
            <w:r>
              <w:rPr>
                <w:rFonts w:hint="eastAsia"/>
                <w:lang w:eastAsia="zh-CN"/>
              </w:rPr>
              <w:t>关证明材料，一般参数未响应的则按以上评审要求对应扣分；参数中有明确要求的，按照参数中要求执行。</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3</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项目管理方案</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10</w:t>
            </w:r>
          </w:p>
        </w:tc>
        <w:tc>
          <w:tcPr>
            <w:tcW w:w="510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1、根据投标人提供的项目实施方案：①实施计划、 ②质量保证措施、③进度保证措施、④项目人员组织、⑤职责分工。进行综合评审：以上内容充分体现且完全满足项目采购需求的得10</w:t>
            </w:r>
            <w:r>
              <w:rPr>
                <w:lang w:eastAsia="zh-CN"/>
              </w:rPr>
              <w:t>分，每缺失一项内容的扣</w:t>
            </w:r>
            <w:r>
              <w:rPr>
                <w:rFonts w:hint="eastAsia"/>
                <w:lang w:eastAsia="zh-CN"/>
              </w:rPr>
              <w:t>2</w:t>
            </w:r>
            <w:r>
              <w:rPr>
                <w:lang w:eastAsia="zh-CN"/>
              </w:rPr>
              <w:t>分，每有一项内容不足或有缺陷或不符合本项目实际的一处扣</w:t>
            </w:r>
            <w:r>
              <w:rPr>
                <w:rFonts w:hint="eastAsia"/>
                <w:lang w:eastAsia="zh-CN"/>
              </w:rPr>
              <w:t>0.5</w:t>
            </w:r>
            <w:r>
              <w:rPr>
                <w:lang w:eastAsia="zh-CN"/>
              </w:rPr>
              <w:t>分，直至该项分值扣完为止。</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4</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项目管理能力</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4</w:t>
            </w:r>
          </w:p>
        </w:tc>
        <w:tc>
          <w:tcPr>
            <w:tcW w:w="510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1.项目组成员：项目实施人员具有相关专业资格证书的（扩声、舞台灯光、智能化等相关专业），每提供1人得1分，最多得4分；提供上述人员的相关证书复印件并加盖投标人鲜章有效。</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5</w:t>
            </w:r>
          </w:p>
        </w:tc>
        <w:tc>
          <w:tcPr>
            <w:tcW w:w="1220" w:type="dxa"/>
            <w:tcBorders>
              <w:top w:val="single" w:color="auto" w:sz="4" w:space="0"/>
              <w:left w:val="single" w:color="auto" w:sz="4" w:space="0"/>
              <w:bottom w:val="single" w:color="auto" w:sz="4" w:space="0"/>
              <w:right w:val="single" w:color="auto" w:sz="4" w:space="0"/>
            </w:tcBorders>
            <w:vAlign w:val="center"/>
          </w:tcPr>
          <w:p>
            <w:r>
              <w:t>履约能力</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6</w:t>
            </w:r>
          </w:p>
        </w:tc>
        <w:tc>
          <w:tcPr>
            <w:tcW w:w="510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1、2021年01月01日(含)至本项目投标截止之日(不含)期间，投标人每提供1个类似项目业绩的合同复印件或中标（成交）通知书复印件得1.5分，最多得6分。</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6</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售后服务</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10</w:t>
            </w:r>
          </w:p>
        </w:tc>
        <w:tc>
          <w:tcPr>
            <w:tcW w:w="5103" w:type="dxa"/>
            <w:tcBorders>
              <w:top w:val="single" w:color="auto" w:sz="4" w:space="0"/>
              <w:left w:val="single" w:color="auto" w:sz="4" w:space="0"/>
              <w:bottom w:val="single" w:color="auto" w:sz="4" w:space="0"/>
              <w:right w:val="single" w:color="auto" w:sz="4" w:space="0"/>
            </w:tcBorders>
            <w:vAlign w:val="center"/>
          </w:tcPr>
          <w:p>
            <w:pPr>
              <w:rPr>
                <w:lang w:eastAsia="zh-CN"/>
              </w:rPr>
            </w:pPr>
            <w:r>
              <w:rPr>
                <w:rFonts w:hint="eastAsia"/>
                <w:lang w:eastAsia="zh-CN"/>
              </w:rPr>
              <w:t>1、投标人针对本项目提供的售后服务方案(包括但不限于：①服务响应时间及现场服务支持措施；②维修团队人员配置;③售后巡检方案；④售后服务机具（包含：维修工具、车辆保障）;⑤培训计划，进行评审：全部提供以上内容并符合项目采购需求的得10分，每有一项内容缺失扣2分，每一项内容不完整或有缺陷或与项目不匹配的扣1分，扣完为止。</w:t>
            </w:r>
          </w:p>
        </w:tc>
        <w:tc>
          <w:tcPr>
            <w:tcW w:w="1843" w:type="dxa"/>
            <w:tcBorders>
              <w:top w:val="single" w:color="auto" w:sz="4" w:space="0"/>
              <w:left w:val="single" w:color="auto" w:sz="4" w:space="0"/>
              <w:bottom w:val="single" w:color="auto" w:sz="4" w:space="0"/>
              <w:right w:val="single" w:color="auto" w:sz="4" w:space="0"/>
            </w:tcBorders>
            <w:vAlign w:val="center"/>
          </w:tcPr>
          <w:p>
            <w:pPr>
              <w:rPr>
                <w:lang w:eastAsia="zh-CN"/>
              </w:rPr>
            </w:pPr>
          </w:p>
        </w:tc>
      </w:tr>
    </w:tbl>
    <w:p>
      <w:pPr>
        <w:rPr>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p>
    <w:p>
      <w:pPr>
        <w:pStyle w:val="10"/>
        <w:ind w:left="0" w:leftChars="0" w:firstLine="640"/>
        <w:rPr>
          <w:rFonts w:ascii="黑体" w:hAnsi="黑体" w:eastAsia="黑体" w:cs="黑体"/>
          <w:sz w:val="32"/>
          <w:szCs w:val="32"/>
          <w:lang w:eastAsia="zh-CN"/>
        </w:rPr>
      </w:pPr>
      <w:r>
        <w:rPr>
          <w:rFonts w:hint="eastAsia" w:ascii="黑体" w:hAnsi="黑体" w:eastAsia="黑体" w:cs="黑体"/>
          <w:sz w:val="32"/>
          <w:szCs w:val="32"/>
          <w:lang w:eastAsia="zh-CN"/>
        </w:rPr>
        <w:t>五、商务要求</w:t>
      </w:r>
    </w:p>
    <w:tbl>
      <w:tblPr>
        <w:tblStyle w:val="19"/>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vAlign w:val="center"/>
          </w:tcPr>
          <w:p>
            <w:pPr>
              <w:adjustRightInd w:val="0"/>
              <w:spacing w:line="320" w:lineRule="exact"/>
              <w:jc w:val="center"/>
              <w:rPr>
                <w:rFonts w:ascii="宋体" w:hAnsi="宋体" w:eastAsia="宋体" w:cs="宋体"/>
                <w:sz w:val="28"/>
                <w:szCs w:val="28"/>
              </w:rPr>
            </w:pPr>
            <w:r>
              <w:rPr>
                <w:rFonts w:hint="eastAsia" w:ascii="宋体" w:hAnsi="宋体"/>
                <w:b/>
                <w:bCs/>
                <w:spacing w:val="8"/>
              </w:rPr>
              <w:t>序号</w:t>
            </w:r>
          </w:p>
        </w:tc>
        <w:tc>
          <w:tcPr>
            <w:tcW w:w="2890" w:type="dxa"/>
            <w:vAlign w:val="center"/>
          </w:tcPr>
          <w:p>
            <w:pPr>
              <w:adjustRightInd w:val="0"/>
              <w:spacing w:line="320" w:lineRule="exact"/>
              <w:jc w:val="center"/>
              <w:rPr>
                <w:rFonts w:ascii="宋体" w:hAnsi="宋体" w:eastAsia="宋体" w:cs="宋体"/>
                <w:sz w:val="28"/>
                <w:szCs w:val="28"/>
              </w:rPr>
            </w:pPr>
            <w:r>
              <w:rPr>
                <w:rFonts w:hint="eastAsia" w:ascii="宋体" w:hAnsi="宋体"/>
                <w:b/>
                <w:bCs/>
                <w:spacing w:val="8"/>
              </w:rPr>
              <w:t>内容</w:t>
            </w:r>
          </w:p>
        </w:tc>
        <w:tc>
          <w:tcPr>
            <w:tcW w:w="6080" w:type="dxa"/>
            <w:vAlign w:val="center"/>
          </w:tcPr>
          <w:p>
            <w:pPr>
              <w:adjustRightInd w:val="0"/>
              <w:spacing w:line="320" w:lineRule="exact"/>
              <w:jc w:val="center"/>
              <w:rPr>
                <w:rFonts w:ascii="宋体" w:hAnsi="宋体" w:eastAsia="宋体" w:cs="宋体"/>
                <w:sz w:val="28"/>
                <w:szCs w:val="28"/>
              </w:rPr>
            </w:pPr>
            <w:r>
              <w:rPr>
                <w:rFonts w:hint="eastAsia" w:ascii="宋体" w:hAnsi="宋体"/>
                <w:b/>
                <w:bCs/>
                <w:spacing w:val="8"/>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1</w:t>
            </w:r>
          </w:p>
        </w:tc>
        <w:tc>
          <w:tcPr>
            <w:tcW w:w="289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工期要求</w:t>
            </w:r>
          </w:p>
        </w:tc>
        <w:tc>
          <w:tcPr>
            <w:tcW w:w="6080" w:type="dxa"/>
          </w:tcPr>
          <w:p>
            <w:pPr>
              <w:adjustRightInd w:val="0"/>
              <w:spacing w:line="320" w:lineRule="exact"/>
              <w:jc w:val="center"/>
              <w:rPr>
                <w:rFonts w:ascii="仿宋" w:hAnsi="仿宋" w:eastAsia="仿宋" w:cs="仿宋"/>
                <w:sz w:val="32"/>
                <w:szCs w:val="32"/>
                <w:lang w:val="zh-CN" w:eastAsia="zh-CN"/>
              </w:rPr>
            </w:pPr>
          </w:p>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合同签订后</w:t>
            </w:r>
            <w:r>
              <w:rPr>
                <w:rFonts w:hint="eastAsia" w:ascii="仿宋" w:hAnsi="仿宋" w:eastAsia="仿宋" w:cs="仿宋"/>
                <w:sz w:val="32"/>
                <w:szCs w:val="32"/>
                <w:lang w:eastAsia="zh-CN"/>
              </w:rPr>
              <w:t>40天内</w:t>
            </w:r>
            <w:r>
              <w:rPr>
                <w:rFonts w:hint="eastAsia" w:ascii="仿宋" w:hAnsi="仿宋" w:eastAsia="仿宋" w:cs="仿宋"/>
                <w:sz w:val="32"/>
                <w:szCs w:val="32"/>
                <w:lang w:val="zh-CN" w:eastAsia="zh-CN"/>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2</w:t>
            </w:r>
          </w:p>
        </w:tc>
        <w:tc>
          <w:tcPr>
            <w:tcW w:w="2890"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实施</w:t>
            </w:r>
            <w:r>
              <w:rPr>
                <w:rFonts w:hint="eastAsia" w:ascii="仿宋" w:hAnsi="仿宋" w:eastAsia="仿宋" w:cs="仿宋"/>
                <w:sz w:val="32"/>
                <w:szCs w:val="32"/>
                <w:lang w:val="zh-CN" w:eastAsia="zh-CN"/>
              </w:rPr>
              <w:t>地点</w:t>
            </w:r>
          </w:p>
        </w:tc>
        <w:tc>
          <w:tcPr>
            <w:tcW w:w="6080"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江油大剧院三楼剧场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3</w:t>
            </w:r>
          </w:p>
        </w:tc>
        <w:tc>
          <w:tcPr>
            <w:tcW w:w="2890"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val="zh-CN" w:eastAsia="zh-CN"/>
              </w:rPr>
              <w:t>验收要求</w:t>
            </w:r>
          </w:p>
        </w:tc>
        <w:tc>
          <w:tcPr>
            <w:tcW w:w="6080"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按照</w:t>
            </w:r>
            <w:r>
              <w:rPr>
                <w:rFonts w:hint="eastAsia" w:ascii="仿宋" w:hAnsi="仿宋" w:eastAsia="仿宋" w:cs="仿宋"/>
                <w:sz w:val="32"/>
                <w:szCs w:val="32"/>
                <w:lang w:eastAsia="zh-CN"/>
              </w:rPr>
              <w:t>相关</w:t>
            </w:r>
            <w:r>
              <w:rPr>
                <w:rFonts w:hint="eastAsia" w:ascii="仿宋" w:hAnsi="仿宋" w:eastAsia="仿宋" w:cs="仿宋"/>
                <w:sz w:val="32"/>
                <w:szCs w:val="32"/>
                <w:lang w:val="zh-CN" w:eastAsia="zh-CN"/>
              </w:rPr>
              <w:t>要求</w:t>
            </w:r>
            <w:r>
              <w:rPr>
                <w:rFonts w:hint="eastAsia" w:ascii="仿宋" w:hAnsi="仿宋" w:eastAsia="仿宋" w:cs="仿宋"/>
                <w:sz w:val="32"/>
                <w:szCs w:val="32"/>
                <w:lang w:eastAsia="zh-CN"/>
              </w:rPr>
              <w:t>进行</w:t>
            </w:r>
            <w:r>
              <w:rPr>
                <w:rFonts w:hint="eastAsia" w:ascii="仿宋" w:hAnsi="仿宋" w:eastAsia="仿宋" w:cs="仿宋"/>
                <w:sz w:val="32"/>
                <w:szCs w:val="32"/>
                <w:lang w:val="zh-CN" w:eastAsia="zh-CN"/>
              </w:rPr>
              <w:t>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4</w:t>
            </w:r>
          </w:p>
        </w:tc>
        <w:tc>
          <w:tcPr>
            <w:tcW w:w="289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履约保证金</w:t>
            </w:r>
          </w:p>
        </w:tc>
        <w:tc>
          <w:tcPr>
            <w:tcW w:w="6080"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成</w:t>
            </w:r>
            <w:r>
              <w:rPr>
                <w:rFonts w:hint="eastAsia" w:ascii="仿宋" w:hAnsi="仿宋" w:eastAsia="仿宋" w:cs="仿宋"/>
                <w:sz w:val="32"/>
                <w:szCs w:val="32"/>
                <w:lang w:val="zh-CN" w:eastAsia="zh-CN"/>
              </w:rPr>
              <w:t>交投标人在中标后</w:t>
            </w:r>
            <w:r>
              <w:rPr>
                <w:rFonts w:hint="eastAsia" w:ascii="仿宋" w:hAnsi="仿宋" w:eastAsia="仿宋" w:cs="仿宋"/>
                <w:sz w:val="32"/>
                <w:szCs w:val="32"/>
                <w:lang w:eastAsia="zh-CN"/>
              </w:rPr>
              <w:t>5</w:t>
            </w:r>
            <w:r>
              <w:rPr>
                <w:rFonts w:hint="eastAsia" w:ascii="仿宋" w:hAnsi="仿宋" w:eastAsia="仿宋" w:cs="仿宋"/>
                <w:sz w:val="32"/>
                <w:szCs w:val="32"/>
                <w:lang w:val="zh-CN" w:eastAsia="zh-CN"/>
              </w:rPr>
              <w:t>个工作日内需缴纳成交合同金额5%的履约保证金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5</w:t>
            </w:r>
          </w:p>
        </w:tc>
        <w:tc>
          <w:tcPr>
            <w:tcW w:w="289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val="zh-CN" w:eastAsia="zh-CN"/>
              </w:rPr>
              <w:t>款项支付方式、进度</w:t>
            </w:r>
          </w:p>
        </w:tc>
        <w:tc>
          <w:tcPr>
            <w:tcW w:w="6080"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6</w:t>
            </w:r>
          </w:p>
        </w:tc>
        <w:tc>
          <w:tcPr>
            <w:tcW w:w="2890"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val="zh-CN" w:eastAsia="zh-CN"/>
              </w:rPr>
              <w:t>其他</w:t>
            </w:r>
          </w:p>
        </w:tc>
        <w:tc>
          <w:tcPr>
            <w:tcW w:w="6080" w:type="dxa"/>
            <w:vAlign w:val="center"/>
          </w:tcPr>
          <w:p>
            <w:pPr>
              <w:adjustRightInd w:val="0"/>
              <w:spacing w:line="320"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无</w:t>
            </w:r>
          </w:p>
        </w:tc>
      </w:tr>
    </w:tbl>
    <w:p>
      <w:pPr>
        <w:rPr>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p>
    <w:p>
      <w:pPr>
        <w:pStyle w:val="2"/>
        <w:rPr>
          <w:rFonts w:ascii="仿宋" w:hAnsi="仿宋" w:eastAsia="仿宋" w:cs="仿宋"/>
          <w:bCs w:val="0"/>
          <w:sz w:val="32"/>
          <w:szCs w:val="32"/>
          <w:lang w:eastAsia="zh-CN"/>
        </w:rPr>
      </w:pPr>
    </w:p>
    <w:p>
      <w:pPr>
        <w:pStyle w:val="3"/>
        <w:rPr>
          <w:rFonts w:ascii="仿宋" w:hAnsi="仿宋" w:eastAsia="仿宋" w:cs="仿宋"/>
          <w:sz w:val="32"/>
          <w:szCs w:val="32"/>
        </w:rPr>
      </w:pPr>
    </w:p>
    <w:p>
      <w:pPr>
        <w:rPr>
          <w:rFonts w:ascii="仿宋" w:hAnsi="仿宋" w:eastAsia="仿宋" w:cs="仿宋"/>
          <w:sz w:val="32"/>
          <w:szCs w:val="32"/>
          <w:lang w:eastAsia="zh-CN"/>
        </w:rPr>
      </w:pPr>
    </w:p>
    <w:p>
      <w:pPr>
        <w:pStyle w:val="2"/>
        <w:rPr>
          <w:lang w:eastAsia="zh-CN"/>
        </w:rPr>
      </w:pPr>
    </w:p>
    <w:p>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附件2：竞标函</w:t>
      </w:r>
    </w:p>
    <w:p>
      <w:pPr>
        <w:spacing w:line="574" w:lineRule="exact"/>
        <w:jc w:val="center"/>
        <w:rPr>
          <w:rFonts w:ascii="方正小标宋简体" w:hAnsi="方正小标宋简体" w:eastAsia="方正小标宋简体" w:cs="方正小标宋简体"/>
          <w:sz w:val="44"/>
          <w:szCs w:val="44"/>
          <w:lang w:eastAsia="zh-CN"/>
        </w:rPr>
      </w:pPr>
    </w:p>
    <w:p>
      <w:pPr>
        <w:spacing w:line="574" w:lineRule="exact"/>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江油大剧院三楼剧场舞台扩声、灯光及观众厅照明系统改造项目比选竞标函</w:t>
      </w:r>
    </w:p>
    <w:p>
      <w:pPr>
        <w:spacing w:line="574" w:lineRule="exact"/>
        <w:jc w:val="center"/>
        <w:rPr>
          <w:rFonts w:ascii="方正小标宋简体" w:hAnsi="方正小标宋简体" w:eastAsia="方正小标宋简体" w:cs="方正小标宋简体"/>
          <w:sz w:val="44"/>
          <w:szCs w:val="44"/>
          <w:lang w:eastAsia="zh-CN"/>
        </w:rPr>
      </w:pPr>
    </w:p>
    <w:p>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江油市李白故居文化旅游开发有限公司：</w:t>
      </w: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我方全面研究了“江油大剧院三楼剧场舞台扩声、灯光及观众厅照明系统改造项目”招标文件，决定参加贵单位组织的本次比选活动，并自觉遵守采购相关规定，遵守采购规则，维护正常的采购秩序。</w:t>
      </w:r>
    </w:p>
    <w:p>
      <w:pPr>
        <w:numPr>
          <w:ilvl w:val="0"/>
          <w:numId w:val="2"/>
        </w:num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我方自愿按照比选文件规定的各项要求向采购人提供所需物资及服务，提供的物资及服务等所有权及知识产权等权利无瑕疵。</w:t>
      </w:r>
    </w:p>
    <w:p>
      <w:pPr>
        <w:numPr>
          <w:ilvl w:val="0"/>
          <w:numId w:val="2"/>
        </w:numPr>
        <w:spacing w:line="574" w:lineRule="exact"/>
        <w:ind w:firstLine="640" w:firstLineChars="200"/>
        <w:jc w:val="both"/>
        <w:rPr>
          <w:rFonts w:ascii="仿宋" w:hAnsi="仿宋" w:eastAsia="仿宋" w:cs="仿宋"/>
          <w:sz w:val="32"/>
          <w:szCs w:val="32"/>
          <w:u w:val="single"/>
          <w:lang w:eastAsia="zh-CN"/>
        </w:rPr>
      </w:pPr>
      <w:r>
        <w:rPr>
          <w:rFonts w:hint="eastAsia" w:ascii="仿宋" w:hAnsi="仿宋" w:eastAsia="仿宋" w:cs="仿宋"/>
          <w:sz w:val="32"/>
          <w:szCs w:val="32"/>
          <w:lang w:eastAsia="zh-CN"/>
        </w:rPr>
        <w:t>总报价为含税价：</w:t>
      </w:r>
      <w:r>
        <w:rPr>
          <w:rFonts w:hint="eastAsia" w:ascii="仿宋" w:hAnsi="仿宋" w:eastAsia="仿宋" w:cs="仿宋"/>
          <w:sz w:val="32"/>
          <w:szCs w:val="32"/>
          <w:u w:val="single"/>
          <w:lang w:eastAsia="zh-CN"/>
        </w:rPr>
        <w:t>人民币       万元（大写：        ）</w:t>
      </w: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3、一旦我方成交，我方将严格履行合同规定的责任和义务，保证于合同约定日期内完成项目的履约，并交付采购人验收、使用。</w:t>
      </w: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4、我方对提供资料的真实性负责。如经查实我公司提供的资料存在虚假，我方愿意接受以提供虚假材料谋取中标追究法律责任。</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投标人名称： (盖章)</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 xml:space="preserve">法定代表人或授权代表（签字）：  </w:t>
      </w:r>
    </w:p>
    <w:p>
      <w:pPr>
        <w:spacing w:line="574" w:lineRule="exact"/>
        <w:ind w:firstLine="640" w:firstLineChars="200"/>
        <w:jc w:val="right"/>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投标时间：  年  月  日</w:t>
      </w:r>
    </w:p>
    <w:p>
      <w:pPr>
        <w:pStyle w:val="2"/>
        <w:rPr>
          <w:rFonts w:ascii="仿宋" w:hAnsi="仿宋" w:eastAsia="仿宋" w:cs="仿宋"/>
          <w:sz w:val="32"/>
          <w:szCs w:val="32"/>
          <w:lang w:eastAsia="zh-CN"/>
        </w:rPr>
        <w:sectPr>
          <w:pgSz w:w="11906" w:h="16838"/>
          <w:pgMar w:top="1440" w:right="1134" w:bottom="1440" w:left="1134" w:header="851" w:footer="992" w:gutter="0"/>
          <w:cols w:space="0" w:num="1"/>
          <w:docGrid w:type="lines" w:linePitch="332" w:charSpace="0"/>
        </w:sectPr>
      </w:pPr>
    </w:p>
    <w:p>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附件3：报价单</w:t>
      </w:r>
    </w:p>
    <w:p>
      <w:pPr>
        <w:spacing w:line="574" w:lineRule="exact"/>
        <w:ind w:firstLine="640" w:firstLineChars="200"/>
        <w:jc w:val="both"/>
        <w:rPr>
          <w:rFonts w:ascii="仿宋" w:hAnsi="仿宋" w:eastAsia="仿宋" w:cs="仿宋"/>
          <w:sz w:val="32"/>
          <w:szCs w:val="32"/>
          <w:lang w:eastAsia="zh-CN"/>
        </w:rPr>
      </w:pPr>
    </w:p>
    <w:p>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 xml:space="preserve">采购项目名称：江油大剧院三楼剧场舞台扩声、灯光及观众厅照明系统改造项目                  </w:t>
      </w: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 xml:space="preserve">                                             </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p>
    <w:tbl>
      <w:tblPr>
        <w:tblStyle w:val="19"/>
        <w:tblW w:w="996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5"/>
        <w:gridCol w:w="5596"/>
        <w:gridCol w:w="1850"/>
        <w:gridCol w:w="1033"/>
        <w:gridCol w:w="7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jc w:val="center"/>
        </w:trPr>
        <w:tc>
          <w:tcPr>
            <w:tcW w:w="785" w:type="dxa"/>
          </w:tcPr>
          <w:p>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序号</w:t>
            </w:r>
          </w:p>
        </w:tc>
        <w:tc>
          <w:tcPr>
            <w:tcW w:w="5596" w:type="dxa"/>
          </w:tcPr>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采购内容</w:t>
            </w:r>
          </w:p>
        </w:tc>
        <w:tc>
          <w:tcPr>
            <w:tcW w:w="1850" w:type="dxa"/>
          </w:tcPr>
          <w:p>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报价</w:t>
            </w:r>
          </w:p>
        </w:tc>
        <w:tc>
          <w:tcPr>
            <w:tcW w:w="1033" w:type="dxa"/>
          </w:tcPr>
          <w:p>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单位</w:t>
            </w:r>
          </w:p>
        </w:tc>
        <w:tc>
          <w:tcPr>
            <w:tcW w:w="702" w:type="dxa"/>
          </w:tcPr>
          <w:p>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jc w:val="center"/>
        </w:trPr>
        <w:tc>
          <w:tcPr>
            <w:tcW w:w="785" w:type="dxa"/>
          </w:tcPr>
          <w:p>
            <w:pPr>
              <w:spacing w:line="574" w:lineRule="exact"/>
              <w:ind w:firstLine="320" w:firstLineChars="100"/>
              <w:jc w:val="both"/>
              <w:rPr>
                <w:rFonts w:ascii="仿宋" w:hAnsi="仿宋" w:eastAsia="仿宋" w:cs="仿宋"/>
                <w:sz w:val="32"/>
                <w:szCs w:val="32"/>
                <w:lang w:eastAsia="zh-CN"/>
              </w:rPr>
            </w:pPr>
            <w:r>
              <w:rPr>
                <w:rFonts w:hint="eastAsia" w:ascii="仿宋" w:hAnsi="仿宋" w:eastAsia="仿宋" w:cs="仿宋"/>
                <w:sz w:val="32"/>
                <w:szCs w:val="32"/>
                <w:lang w:eastAsia="zh-CN"/>
              </w:rPr>
              <w:t>1</w:t>
            </w:r>
          </w:p>
        </w:tc>
        <w:tc>
          <w:tcPr>
            <w:tcW w:w="5596" w:type="dxa"/>
          </w:tcPr>
          <w:p>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江油大剧院三楼剧场舞台扩声、灯光及观众厅照明系统改造项目</w:t>
            </w:r>
          </w:p>
        </w:tc>
        <w:tc>
          <w:tcPr>
            <w:tcW w:w="1850" w:type="dxa"/>
          </w:tcPr>
          <w:p>
            <w:pPr>
              <w:spacing w:line="574" w:lineRule="exact"/>
              <w:ind w:firstLine="640" w:firstLineChars="200"/>
              <w:jc w:val="both"/>
              <w:rPr>
                <w:rFonts w:ascii="仿宋" w:hAnsi="仿宋" w:eastAsia="仿宋" w:cs="仿宋"/>
                <w:sz w:val="32"/>
                <w:szCs w:val="32"/>
                <w:lang w:eastAsia="zh-CN"/>
              </w:rPr>
            </w:pPr>
          </w:p>
        </w:tc>
        <w:tc>
          <w:tcPr>
            <w:tcW w:w="1033" w:type="dxa"/>
          </w:tcPr>
          <w:p>
            <w:pPr>
              <w:spacing w:line="574" w:lineRule="exact"/>
              <w:jc w:val="center"/>
              <w:rPr>
                <w:rFonts w:ascii="仿宋" w:hAnsi="仿宋" w:eastAsia="仿宋" w:cs="仿宋"/>
                <w:sz w:val="32"/>
                <w:szCs w:val="32"/>
                <w:lang w:eastAsia="zh-CN"/>
              </w:rPr>
            </w:pPr>
            <w:r>
              <w:rPr>
                <w:rFonts w:hint="eastAsia" w:ascii="仿宋" w:hAnsi="仿宋" w:eastAsia="仿宋" w:cs="仿宋"/>
                <w:sz w:val="32"/>
                <w:szCs w:val="32"/>
                <w:lang w:eastAsia="zh-CN"/>
              </w:rPr>
              <w:t>万元</w:t>
            </w:r>
          </w:p>
        </w:tc>
        <w:tc>
          <w:tcPr>
            <w:tcW w:w="702" w:type="dxa"/>
          </w:tcPr>
          <w:p>
            <w:pPr>
              <w:spacing w:line="574" w:lineRule="exact"/>
              <w:ind w:firstLine="640" w:firstLineChars="200"/>
              <w:jc w:val="both"/>
              <w:rPr>
                <w:rFonts w:ascii="仿宋" w:hAnsi="仿宋" w:eastAsia="仿宋" w:cs="仿宋"/>
                <w:sz w:val="32"/>
                <w:szCs w:val="3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9966" w:type="dxa"/>
            <w:gridSpan w:val="5"/>
          </w:tcPr>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投标人报价:</w:t>
            </w:r>
            <w:r>
              <w:rPr>
                <w:rFonts w:hint="eastAsia" w:ascii="仿宋" w:hAnsi="仿宋" w:eastAsia="仿宋" w:cs="仿宋"/>
                <w:sz w:val="32"/>
                <w:szCs w:val="32"/>
                <w:u w:val="single"/>
                <w:lang w:eastAsia="zh-CN"/>
              </w:rPr>
              <w:t xml:space="preserve">_________  </w:t>
            </w:r>
            <w:r>
              <w:rPr>
                <w:rFonts w:hint="eastAsia" w:ascii="仿宋" w:hAnsi="仿宋" w:eastAsia="仿宋" w:cs="仿宋"/>
                <w:sz w:val="32"/>
                <w:szCs w:val="32"/>
                <w:lang w:eastAsia="zh-CN"/>
              </w:rPr>
              <w:t xml:space="preserve">  (大写:</w:t>
            </w:r>
            <w:r>
              <w:rPr>
                <w:rFonts w:hint="eastAsia" w:ascii="仿宋" w:hAnsi="仿宋" w:eastAsia="仿宋" w:cs="仿宋"/>
                <w:sz w:val="32"/>
                <w:szCs w:val="32"/>
                <w:u w:val="single"/>
                <w:lang w:eastAsia="zh-CN"/>
              </w:rPr>
              <w:t xml:space="preserve">_________ </w:t>
            </w:r>
            <w:r>
              <w:rPr>
                <w:rFonts w:hint="eastAsia" w:ascii="仿宋" w:hAnsi="仿宋" w:eastAsia="仿宋" w:cs="仿宋"/>
                <w:sz w:val="32"/>
                <w:szCs w:val="32"/>
                <w:lang w:eastAsia="zh-CN"/>
              </w:rPr>
              <w:t>)</w:t>
            </w:r>
          </w:p>
        </w:tc>
      </w:tr>
    </w:tbl>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投标人名称（盖章）：</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法定代表人或授权代表（签字）：</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日     期 ：       年     月      日</w:t>
      </w: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pStyle w:val="2"/>
        <w:jc w:val="both"/>
        <w:rPr>
          <w:rFonts w:ascii="仿宋" w:hAnsi="仿宋" w:eastAsia="仿宋" w:cs="仿宋"/>
          <w:bCs w:val="0"/>
          <w:sz w:val="32"/>
          <w:szCs w:val="32"/>
          <w:lang w:eastAsia="zh-CN"/>
        </w:rPr>
        <w:sectPr>
          <w:pgSz w:w="11906" w:h="16838"/>
          <w:pgMar w:top="1440" w:right="1134" w:bottom="1440" w:left="1134" w:header="851" w:footer="992" w:gutter="0"/>
          <w:cols w:space="0" w:num="1"/>
          <w:docGrid w:type="lines" w:linePitch="332" w:charSpace="0"/>
        </w:sectPr>
      </w:pPr>
    </w:p>
    <w:p>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附件4：项目报价明细表</w:t>
      </w:r>
    </w:p>
    <w:tbl>
      <w:tblPr>
        <w:tblStyle w:val="11"/>
        <w:tblW w:w="14049" w:type="dxa"/>
        <w:tblInd w:w="93" w:type="dxa"/>
        <w:shd w:val="clear" w:color="auto" w:fill="auto"/>
        <w:tblLayout w:type="autofit"/>
        <w:tblCellMar>
          <w:top w:w="0" w:type="dxa"/>
          <w:left w:w="108" w:type="dxa"/>
          <w:bottom w:w="0" w:type="dxa"/>
          <w:right w:w="108" w:type="dxa"/>
        </w:tblCellMar>
      </w:tblPr>
      <w:tblGrid>
        <w:gridCol w:w="700"/>
        <w:gridCol w:w="1442"/>
        <w:gridCol w:w="7087"/>
        <w:gridCol w:w="709"/>
        <w:gridCol w:w="709"/>
        <w:gridCol w:w="708"/>
        <w:gridCol w:w="709"/>
        <w:gridCol w:w="851"/>
        <w:gridCol w:w="1134"/>
      </w:tblGrid>
      <w:tr>
        <w:tblPrEx>
          <w:shd w:val="clear" w:color="auto" w:fill="auto"/>
          <w:tblCellMar>
            <w:top w:w="0" w:type="dxa"/>
            <w:left w:w="108" w:type="dxa"/>
            <w:bottom w:w="0" w:type="dxa"/>
            <w:right w:w="108" w:type="dxa"/>
          </w:tblCellMar>
        </w:tblPrEx>
        <w:trPr>
          <w:trHeight w:val="420"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sz w:val="20"/>
                <w:szCs w:val="20"/>
                <w:lang w:eastAsia="zh-CN" w:bidi="ar-SA"/>
              </w:rPr>
            </w:pPr>
            <w:r>
              <w:rPr>
                <w:rFonts w:hint="eastAsia" w:ascii="宋体" w:hAnsi="宋体" w:eastAsia="宋体" w:cs="宋体"/>
                <w:b/>
                <w:bCs/>
                <w:color w:val="000000"/>
                <w:sz w:val="20"/>
                <w:szCs w:val="20"/>
                <w:lang w:eastAsia="zh-CN" w:bidi="ar-SA"/>
              </w:rPr>
              <w:t>序号</w:t>
            </w:r>
          </w:p>
        </w:tc>
        <w:tc>
          <w:tcPr>
            <w:tcW w:w="14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sz w:val="20"/>
                <w:szCs w:val="20"/>
                <w:lang w:eastAsia="zh-CN" w:bidi="ar-SA"/>
              </w:rPr>
            </w:pPr>
            <w:r>
              <w:rPr>
                <w:rFonts w:hint="eastAsia" w:ascii="宋体" w:hAnsi="宋体" w:eastAsia="宋体" w:cs="宋体"/>
                <w:b/>
                <w:bCs/>
                <w:color w:val="000000"/>
                <w:sz w:val="20"/>
                <w:szCs w:val="20"/>
                <w:lang w:eastAsia="zh-CN" w:bidi="ar-SA"/>
              </w:rPr>
              <w:t>设备名称</w:t>
            </w:r>
          </w:p>
        </w:tc>
        <w:tc>
          <w:tcPr>
            <w:tcW w:w="70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参数要求</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数量</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单位</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品牌</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型号</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报价</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合计金额</w:t>
            </w:r>
          </w:p>
        </w:tc>
      </w:tr>
      <w:tr>
        <w:tblPrEx>
          <w:tblCellMar>
            <w:top w:w="0" w:type="dxa"/>
            <w:left w:w="108" w:type="dxa"/>
            <w:bottom w:w="0" w:type="dxa"/>
            <w:right w:w="108" w:type="dxa"/>
          </w:tblCellMar>
        </w:tblPrEx>
        <w:trPr>
          <w:trHeight w:val="420" w:hRule="atLeast"/>
        </w:trPr>
        <w:tc>
          <w:tcPr>
            <w:tcW w:w="14049" w:type="dxa"/>
            <w:gridSpan w:val="9"/>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一、舞台扩声系统</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阵列扬声器（声桥左声道）</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阵列扬声器（声桥右声道）</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阵列扬声器（声桥中置声道）</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1.▲低音单元≥2*10寸；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 °且≤110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5.▲单只最大声压级：≥142dB；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6.功率/阻抗：≥单功放：全频1000W@8Ω；双功放：低频700W@8Ω，高频  100W@8Ω；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7.分频双功放或三功放驱动；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扬声器连接件</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1.原厂垂直组合吊装配件，钢材防锈处理，喷塑；</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2.与阵列扬声器同品牌</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二分频扬声器（拉声向）</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1.低音单元≥1*15寸，可旋转号角；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4.整组垂直角度：≥60°且≤80°;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5.▲单只最大声压级：≥138dB；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6.功率/阻抗：≥600W@8Ω；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双18"超低频音箱</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1.低音单元≥2X18"；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2.频响范围下限≤28Hz；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3.▲单只最大声压级≥：141dB；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5.功率/阻抗：≥低频1/低频2：1400W@4Ω；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低频1，低频2：700W@8Ω；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6.驱动模式：单路/双路功放驱动；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7</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舞台流动返送扬声器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1.低音单元≥1*12寸；</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2.频响范围：≤80Hz-≥20kHz；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4.整组垂直角度：≥90°且≤100°;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5.▲单只最大声压级：≥134dB；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6.灵敏度：≥105dB；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7.功率/阻抗：≥200WRMS/8欧姆；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带▲号参数须提供官方彩页资料和官网截图佐证，并加盖投标人鲜章有效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两分频全频扬声器（一层眺台下补声）</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1.低音单元≥1*6.5寸，可旋转号角；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2.频响范围：≤70Hz-≥20kHz；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5.单只最大声压级：≥123dB；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7.功率/阻抗：≥100W/8欧姆；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8"两分频全频扬声器（一层效果声）</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1.低音单元≥1*8寸，可旋转号角；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7.功率/阻抗：≥150W/8欧姆；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8"两分频全频扬声器（二层效果声）</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1.低音单元≥1*8寸，可旋转号角；</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2.频响范围：≤60Hz-≥20kHz；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3.整组水平角度：≥90°且≤110 °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4.整组垂直角度：≥65°且≤80°;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5.单只最大声压级：≥125dB；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6.灵敏度：≥97dB；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7.功率/阻抗：≥150W/8欧姆；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只</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13.输出电压10V～90V功能，可调步进5V。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16.▲失真限制的输出功率：≥1000W（8Ω)；1600W（4Ω)；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13.输出电压10V～90V功能，可调步进5V。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16.▲失真限制的输出功率：≥1000W（8Ω)；1600W（4Ω)；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4.支持定压和定阻两种输出模式（通过通道桥接实现70V定压驱动）。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带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13.输出电压10V～50V功能，可调步进5V。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16.▲失真限制的输出功率：≥300W（8Ω）；≥500W（4Ω）；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四通道带DSP+Dante的数字功率放大器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1.▲模拟信号输入≥4通道，≥Dante×4，≥AES×2。</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2.▲信号分配配置≥10×4矩阵。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3.▲≥10路数/模信号可相互热备份。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4.支持定压和定阻两种输出模式（通过通道桥接实现70V定压驱动）。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5.支持智能保护：方波、直流、过载、啸叫、低阻、短路、过热、过流、过压、开/关机。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6.支持智能自控：过载（AGC）恒功率输出、过热自适配功率输出、方波自动抑制、温控风机自动调速。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7.协议支持：Dante、AES。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8.通讯方式：IP网络、485。</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PC界面支持显示：DSP音效带16段参量均衡和FIR、分频器带10ms延时、延时器、压限器、静噪门、相位，数/模输入信号可矩阵、备份，每通道灵敏度、音量、静音、增益、输出电压可调，可多台/多通道编组（各≥19个）联控。数据预设（存）≥30个（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4.3寸高清彩屏，支持触屏操控：解屏、音量、静音、设置、密码、工作模式、信号路由、信号备份、通道相位、整机增益、输出电压、DSP均衡、分频、延时、压限、噪声门、载入、复制、复位、保存、退出、IP地址、本机和通道命名、中/英文、亮/暗屏等功能设置，通道温度、电源温度、电压、网络通断、负载通断、通道工作和设置状态等显示。可自动锁屏、暗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11.支持PC远程监控：各通道温度、工作状态、整机开/关机、静音，可多台联控、中控。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12.功放面板及PC监控界面支持显示：每通道的电流、电压、阻抗、功率、温度以及负载通断的具体情况。</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13.输出电压10V～50V功能，可调步进5V。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14.输入灵敏度≥0dB～15dB可调功能，可调步进1dB。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15.整机增益≥30dB～45dB可调功能，可调步进1dB。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16.▲失真限制的输出功率：≥300W（8Ω）；≥500W（4Ω）；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17.▲信噪比（A计权）：≥100dB；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18.阻尼系数：＞300；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19.互调失真：≤0.3（1kHz）；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20.多通道放大器中的分离度：＞60dB</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带▲参数需提供具有CNAS或CMA国家认可资质标识的第三方检测报告，并提供“国家市场监督管理总局”平台或第三方检测机构官房查询截图；加盖投标人鲜章有效。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15</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数字调音台</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1.XCVI处理核心，FPGA处理技术，系统延迟≤0.7ms</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2.≥32个电动推子，有6页，共192+1个推子；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3.≥16个自定义按键；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4.≥8个自定义旋钮；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5.全处理输入通道48路，全处理输出通道32路；</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6.≥7“触摸屏；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7.≥32路单声道输入；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8.≥16路单声道输出；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9.≥1个AES数字立体声输出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10.≥1个I/Oprot卡槽（用来扩展DanteWaves等扩展卡）</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11.≥32X32USB多轨录音/回放；</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12.1/3倍频程频谱实时分析；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13.≥8个静音/DCA编组；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14.≥8路立体声效果器输出及专用效果器返回；</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接口箱</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1.≥24路XLR话筒或线路输入；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2.≥12路XLR线路输出；</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Dante卡</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≥64路双向音频传输，通过CAT5控制可兼容矩阵处理器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≥96K/48KHz切换</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自动获取IP地址并自动识别；</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端口冗余网络选项；</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≥千兆网口；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连接到电脑进行多轨录音／回放；</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支持DANTE的虚拟声卡软件；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支持DANTE的控制器软件用于设置网络；</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张</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中控型电源时序器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1.▲可通过红外学习功能及IO控制功能对第三方设备进行控制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 xml:space="preserve">2.▲设备内置远程控制，让用户能随时随地的对设备进行开启关闭操作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3.▲1至4路为国际10A安全划盖插座，5至8路为国际16A安全划盖插座，面板两个直通为国际10A安全划盖插座。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4.▲≥8通道独立控制的时序通道，8通道独立常开软件控制，8通道独立硬件开关式应急停止设置。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5.▲远程控制接口：RS485、RS232、TCP/IP、USB3.0、USB2.0、线控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6.▲密码功能：可设置6位数字、字母、符号密码分功能选择锁定</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19</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千兆交换机</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1.≥24个10/100/1000Base-T以太网端口，4个100/1000 SFP，4个千兆SFP；含光纤模块</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20</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单通道数字无线接收机</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1.≥82 MHz调谐带宽；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2.单一频段≥77个预设兼容通道；</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3.每个6MHz电视频道支持≥17个兼容系统；每个8 MHz通道支持≥22个系统；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4.红外同步部署发射机的选定频率；</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5.安全无线传输AES-256位加密；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6.≥60dB可调音频增益；</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腰包发射机</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1.输入接口：≥4针微型公接头（TA4M）；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2.输入阻抗：1MΩ；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3.最大输入电平：8.5 dBV (1% THD 下 1kHz)；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4.前置放大器等效输入噪声（EIN）：-120 dBV；</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5.发射功率：1 mW 或 10 mW；</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头戴话筒</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 xml:space="preserve">1.传感器类型: 电容；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2.拾音模式: 心形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3.频率响应自: ≥40 Hz-≤20 KHz；</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4.灵敏度 (dBV/Pa): ≥-59 dBV/Pa；</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领夹话筒</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1.与发射机配套；</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2.微型领夹式全指向性电容话筒；</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锂电池</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1.与发射机配套；</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25</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充电底座</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1.充电器，可为2只腰包发射机充电；</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26</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天线分配器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1.≥5路有源天线分配器和配电系统；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2.频率范围：470-960 MHz；</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27</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有源指向性天线</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1.天线增益: 7.5 dB , 3 dB束宽: 70 °；</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 xml:space="preserve">2.信号增益：四档 +12 dB, +6 dB, 0 dB, </w:t>
            </w:r>
            <w:r>
              <w:rPr>
                <w:rFonts w:hint="eastAsia" w:ascii="MS Gothic" w:hAnsi="MS Gothic" w:eastAsia="MS Gothic" w:cs="MS Gothic"/>
                <w:sz w:val="20"/>
                <w:szCs w:val="20"/>
                <w:lang w:eastAsia="zh-CN" w:bidi="ar-SA"/>
              </w:rPr>
              <w:t>−</w:t>
            </w:r>
            <w:r>
              <w:rPr>
                <w:rFonts w:hint="eastAsia" w:ascii="宋体" w:hAnsi="宋体" w:eastAsia="宋体" w:cs="宋体"/>
                <w:sz w:val="20"/>
                <w:szCs w:val="20"/>
                <w:lang w:eastAsia="zh-CN" w:bidi="ar-SA"/>
              </w:rPr>
              <w:t>6 dB；</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28</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 800*600；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29</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桌面音源机柜</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单个机柜可收纳2套领夹或头戴话筒；</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30</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桥架、管材、线材及接插件</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桥架、管材、电源线、信号线、麦克风线、网线、扬声器专用线、接插件、灯勾、多讯道控制线缆、接线盒等</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工程安装中其它辅助材料</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工程安装中其它辅助材料,机柜基础、标识纸、扎带、PDU插座等</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14049" w:type="dxa"/>
            <w:gridSpan w:val="9"/>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二、舞台灯光系统</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6色变焦摇头染色灯（一面）</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6色变焦摇头染色灯（二面）</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600WLED智能图案切割灯（面光）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1、不少于三种通道模式：37CH/41CH/50CH；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2、▲光源：≥600WLED白光模组，色温：≥7000k，灯具输出光通量≥23500lm；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3、▲颜色盘：≥6个固定色片+白光、CMY无极混色、CTO色温，固定图案盘：≥8个图案+白光，旋转图案盘：≥6个可拆卸图案+白光；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4、棱镜：一个四棱镜，可正反旋转，雾化：线性雾化功能；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6、出光角度：6-42°，光圈：机械式线性光圈，光斑大小可调；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7、▲切割器：四片式全程图形切割模块，切割图案可180°旋转；</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10、▲USB：支持不通电的情况操作菜单，也可做软件升级外置接口；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LED变焦聚光灯（侧光）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1、光源：≥200LED灯珠，色温3200K/5600K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2、▲显色性指数：Ra≥95，R9≥90，R15≥90，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3、调光:0~100线性可调，控制面板：LCD显示屏+四按键，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4、调焦：15-60度可调；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5、光学系统：非球面镜加菲涅尔透镜，具有闪烁光源管理系统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5</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LED变焦聚光灯（耳光）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1、光源：≥200LED灯珠，色温3200K/5600K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2、▲显色性指数：Ra≥95，R9≥90，R15≥90，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3、调光:0~100线性可调，控制面板：LCD显示屏+四按键，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4、调焦：15-60度可调；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5、光学系统：非球面镜加菲涅尔透镜，具有闪烁光源管理系统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LED平板会议灯（顶光）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1、▲光源：≥576颗0.5w贴片高显指LED阵列，色温：3200K/5600K/3200-5600K可调，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2、▲显色指数：Ra≥95，R9≥90，</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3、调光：0-100%线性调光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4、▲光東角度：≥120°，中心照度(3米投射距离)，中心照度值&gt;300lx（3200K）,中心照度值&gt;420lx（4200K）</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5、采用超大散热片空气对流自然散热，无风扇全静音</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7</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600WLED智能图案切割灯（顶逆光）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1、不少于三种通道模式：37CH/41CH/50CH；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2、▲光源：≥600WLED白光模组，色温：≥7000k，灯具输出光通量≥23500lm；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3、▲颜色盘：≥6个固定色片+白光、CMY无极混色、CTO色温，固定图案盘：≥8个图案+白光，旋转图案盘：≥6个可拆卸图案+白光；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4、棱镜：一个四棱镜，可正反旋转，雾化：线性雾化功能；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6、出光角度：6-42°，光圈：机械式线性光圈，光斑大小可调；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7、▲切割器：四片式全程图形切割模块，切割图案可180°旋转；</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10、▲USB：支持不通电的情况操作菜单，也可做软件升级外置接口；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6色变焦摇头染色灯（顶光）</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1、▲不少于三种通道模式：31CH/27CH/40CH；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2、▲光源：≥LED37颗20WRGBACL6合1（红+绿+蓝+琥珀+青色+柠檬黄）</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3、颜色；均匀的RGBW无极混色系统组成非常丰富的颜色，</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4、▲调光：0—100%线性调光；在调光过程中色温和显指变化稳定，可实现各个色温段高显指Ra＞96，R9＞93，TLCI＞96‘灯具自带颜色管理系统，可实现多台灯具颜色的一致性</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5、透镜：采用进口一体化透镜盘，出光角度8-38°；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36</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9</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电脑摇头光束灯</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1、不少于三种通道模式：16CH/20CH/31CH；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2、▲光源：不低于OSRAM420W，灯具输出光通量≥12700lm，10米照度≥360000Lx；</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3、颜色盘：≥14颜色+白；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4、▲固定图案盘：≥6个图案+5个光束图案+3个彩色玻璃图案；</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4、棱镜：1个8棱镜，一个双层棱镜（6棱镜+12棱镜）；</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6、光束角度：2°，光圈：机械式线性光圈，光斑大小可调；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7、调光：0—100%机械调光，支持机械频闪和可调速频闪效果，支持频闪宏功能；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8、▲定位技术：采用高精度的磁电式定位系统，XY轴定位更精准；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9、▲灯具具有一个RJ45接口，支持通过标准协议对灯具进行控制并读取灯具状态数据：温度、风机等参数。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（带▲号参数须提供具有CNAS或CMA国家认可资质标识的第三方检测报告；且提供该报告在“国家市场监督管理总局”平台或第三方检测机构官网查询截图。加盖投标人鲜章有效。）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LED追光灯</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1、光源：LED白光模组；光源寿命：≥20000小时；整机光通量总输出：≥13000lm；</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2、调焦：5-11°线性调焦；</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3、调光：0-100%线性调光；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4、光圈：大小任意可调；均匀度：98%</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5、色温：2700K-6500K（线性可调）颜色盘：5色+白光</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6、控制方式：控制推杠线性调节</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双雾化雾机</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 输出量：≥2800立方尺/分钟，最大油桶容量：≥3.5升</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 DMX通道：≥1频道，内置控制器：LCD定时控制器</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雾机油</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烟色纯白、无味</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≥6瓶/箱，≥1L/瓶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箱</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灯光控制台</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≥7个DMX输出/输入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最高可扩展≥65536个通道参数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内置≥2个15.4英寸触摸屏+≥1个9英寸触摸屏</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≥15个高精度电动推杆，A/B场电动推杆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≥1个总控电动推杆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≥6个耐磨编码器（带Push）</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≥1个高灵敏轨迹球</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≥1个高精度调光轮•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Linux操作系统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支持中英文两种语言</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支持多台联机备份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支持手持式远程控制</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支持舞台3D效果模拟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实时现场模拟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系统可通过U盘安装</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节目数据可保存在硬盘或U盘</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支持DMX512,Artnet,ACN协议</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支持RDM管理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支持Wysiwyg连接</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支持LTP和HTP</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支持MIDI时间码和内部时间码</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支持Layout管理</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▲具有灯光控制软件著作权证书</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DMX网络扩展器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实时计算，自带≥8个DMX512输出口，可同时输出≥4096控制参数</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≥1个内置触摸式指令屏幕(7”SVGA)</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≥1个千兆以太网接口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≥2个USB2.0连接接口</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Linux操作系统</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中英文双语种操作界面</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15</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DMX网络解码器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≥100Mbit/s百兆传输速率.支持≥4096个通道参数.可连接电脑模拟器.与灯光控制台整合一起使用，增加实际物理输出口.支持DMX数据的输入输出.支持所有Art-Net的控制连接使用</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支持协议：DMX512,Art-Net.通道参数:4096.内置高性能FPGA处理器.内置百兆高速网络处理器芯片.内置交换机芯片.支持级连功能；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XLR3pinDMX输出≥8个.百兆网口≥2个</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≥1个TFT显示屏</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16</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DMX信号放大器</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≥1路输入，≥8路输出，每路输入输出光电隔离独立，终端电阻开关输出信号LED指示灯；</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标准机架式安装</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输入电压：AC220-240V~,50-60Hz</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shd w:val="clear" w:color="auto" w:fill="auto"/>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17</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网络机柜</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42U设备机柜800*600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台</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18</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电源直通柜</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≥630A总空开（三相），≥96路×≥6KW；</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≥96路32A高度灵敏度空气开关，具有过压、过流、过载保护；</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三相总控输入、输出端电源指示；</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总零线、总地线铜排输入，独立的输出端子；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数字显示电压、电流表，实时监视三相电流、电压；</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高阻性、大电流接线端子；</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适用于感性、容性、阻性负载；</w:t>
            </w:r>
            <w:r>
              <w:rPr>
                <w:rFonts w:hint="eastAsia" w:ascii="宋体" w:hAnsi="宋体" w:eastAsia="宋体" w:cs="宋体"/>
                <w:sz w:val="20"/>
                <w:szCs w:val="20"/>
                <w:lang w:eastAsia="zh-CN" w:bidi="ar-SA"/>
              </w:rPr>
              <w:br w:type="textWrapping"/>
            </w:r>
            <w:r>
              <w:rPr>
                <w:rFonts w:hint="eastAsia" w:ascii="宋体" w:hAnsi="宋体" w:eastAsia="宋体" w:cs="宋体"/>
                <w:sz w:val="20"/>
                <w:szCs w:val="20"/>
                <w:lang w:eastAsia="zh-CN" w:bidi="ar-SA"/>
              </w:rPr>
              <w:t>供电：三相五线制AC380V±10%50/60Hz；</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套</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19</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安装辅材</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桥架、管材、电源线、DMX信号线、扁形电缆、网线、动力电缆、接插件、灯勾、保险绳、接线盒等</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批</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14049" w:type="dxa"/>
            <w:gridSpan w:val="9"/>
            <w:tcBorders>
              <w:top w:val="single" w:color="auto" w:sz="4" w:space="0"/>
              <w:left w:val="single" w:color="auto" w:sz="4" w:space="0"/>
              <w:bottom w:val="single" w:color="auto" w:sz="4" w:space="0"/>
              <w:right w:val="single" w:color="000000" w:sz="4" w:space="0"/>
            </w:tcBorders>
            <w:shd w:val="clear" w:color="auto" w:fill="auto"/>
            <w:vAlign w:val="center"/>
          </w:tcPr>
          <w:p>
            <w:pPr>
              <w:widowControl/>
              <w:rPr>
                <w:rFonts w:ascii="宋体" w:hAnsi="宋体" w:eastAsia="宋体" w:cs="宋体"/>
                <w:b/>
                <w:bCs/>
                <w:sz w:val="20"/>
                <w:szCs w:val="20"/>
                <w:lang w:eastAsia="zh-CN" w:bidi="ar-SA"/>
              </w:rPr>
            </w:pPr>
            <w:r>
              <w:rPr>
                <w:rFonts w:hint="eastAsia" w:ascii="宋体" w:hAnsi="宋体" w:eastAsia="宋体" w:cs="宋体"/>
                <w:b/>
                <w:bCs/>
                <w:sz w:val="20"/>
                <w:szCs w:val="20"/>
                <w:lang w:eastAsia="zh-CN" w:bidi="ar-SA"/>
              </w:rPr>
              <w:t>三、观众厅照明</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LED嵌入式筒灯，功率≥20W，4000K或6500K可选，≥6寸，开孔尺寸15cm（利用原有开孔），显指≥80，光效≥110lm/W</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2</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LED嵌入式筒灯，功率≥40W，4000K或6500K可选，≥8寸，开孔尺寸20cm（利用原有开孔），显指≥80，光效≥110lm/W</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130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3</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LED照明灯</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LED嵌入式筒灯，功率≥7W，4000K或6500K可选，≥3寸，开孔尺寸9cm（利用原有开孔），显指≥80，光效≥110lm/W</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128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r>
        <w:tblPrEx>
          <w:tblCellMar>
            <w:top w:w="0" w:type="dxa"/>
            <w:left w:w="108" w:type="dxa"/>
            <w:bottom w:w="0" w:type="dxa"/>
            <w:right w:w="108" w:type="dxa"/>
          </w:tblCellMar>
        </w:tblPrEx>
        <w:trPr>
          <w:trHeight w:val="42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4</w:t>
            </w:r>
          </w:p>
        </w:tc>
        <w:tc>
          <w:tcPr>
            <w:tcW w:w="14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施工辅材</w:t>
            </w:r>
          </w:p>
        </w:tc>
        <w:tc>
          <w:tcPr>
            <w:tcW w:w="708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sz w:val="20"/>
                <w:szCs w:val="20"/>
                <w:lang w:eastAsia="zh-CN" w:bidi="ar-SA"/>
              </w:rPr>
            </w:pPr>
            <w:r>
              <w:rPr>
                <w:rFonts w:hint="eastAsia" w:ascii="宋体" w:hAnsi="宋体" w:eastAsia="宋体" w:cs="宋体"/>
                <w:sz w:val="20"/>
                <w:szCs w:val="20"/>
                <w:lang w:eastAsia="zh-CN" w:bidi="ar-SA"/>
              </w:rPr>
              <w:t>原有灯具拆除、安装施工、各类辅材、满堂脚手架搭建</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项</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 w:val="20"/>
                <w:szCs w:val="20"/>
                <w:lang w:eastAsia="zh-CN" w:bidi="ar-SA"/>
              </w:rPr>
            </w:pPr>
            <w:r>
              <w:rPr>
                <w:rFonts w:hint="eastAsia" w:ascii="宋体" w:hAnsi="宋体" w:eastAsia="宋体" w:cs="宋体"/>
                <w:sz w:val="20"/>
                <w:szCs w:val="20"/>
                <w:lang w:eastAsia="zh-CN" w:bidi="ar-SA"/>
              </w:rPr>
              <w:t>　</w:t>
            </w:r>
          </w:p>
        </w:tc>
      </w:tr>
    </w:tbl>
    <w:p>
      <w:pPr>
        <w:pStyle w:val="3"/>
        <w:ind w:left="0"/>
        <w:jc w:val="left"/>
        <w:rPr>
          <w:lang w:bidi="en-US"/>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投标人名称（盖章）：</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法定代表人或授权代表（签字）：</w:t>
      </w:r>
    </w:p>
    <w:p>
      <w:pPr>
        <w:spacing w:line="574" w:lineRule="exact"/>
        <w:ind w:firstLine="640" w:firstLineChars="200"/>
        <w:jc w:val="both"/>
        <w:rPr>
          <w:rFonts w:ascii="仿宋" w:hAnsi="仿宋" w:eastAsia="仿宋" w:cs="仿宋"/>
          <w:sz w:val="32"/>
          <w:szCs w:val="32"/>
          <w:lang w:eastAsia="zh-CN"/>
        </w:rPr>
      </w:pPr>
    </w:p>
    <w:p>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日     期 ：       年     月      日</w:t>
      </w:r>
    </w:p>
    <w:p>
      <w:pPr>
        <w:pStyle w:val="2"/>
        <w:jc w:val="both"/>
        <w:rPr>
          <w:rFonts w:ascii="仿宋" w:hAnsi="仿宋" w:eastAsia="仿宋" w:cs="仿宋"/>
          <w:bCs w:val="0"/>
          <w:sz w:val="32"/>
          <w:szCs w:val="32"/>
          <w:lang w:eastAsia="zh-CN"/>
        </w:rPr>
        <w:sectPr>
          <w:pgSz w:w="16838" w:h="11906" w:orient="landscape"/>
          <w:pgMar w:top="1134" w:right="1440" w:bottom="1134" w:left="1440" w:header="851" w:footer="992" w:gutter="0"/>
          <w:cols w:space="0" w:num="1"/>
          <w:docGrid w:type="lines" w:linePitch="332" w:charSpace="0"/>
        </w:sectPr>
      </w:pPr>
    </w:p>
    <w:p>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附件5：商务应答表</w:t>
      </w:r>
    </w:p>
    <w:p>
      <w:pPr>
        <w:rPr>
          <w:lang w:eastAsia="zh-CN"/>
        </w:rPr>
      </w:pPr>
    </w:p>
    <w:p>
      <w:pPr>
        <w:spacing w:before="100" w:line="576" w:lineRule="exact"/>
        <w:jc w:val="center"/>
        <w:outlineLvl w:val="2"/>
        <w:rPr>
          <w:rFonts w:ascii="宋体" w:hAnsi="宋体" w:eastAsia="宋体" w:cs="宋体"/>
        </w:rPr>
      </w:pPr>
      <w:r>
        <w:rPr>
          <w:rFonts w:hint="eastAsia" w:ascii="宋体" w:hAnsi="宋体" w:eastAsia="宋体" w:cs="宋体"/>
          <w:spacing w:val="12"/>
        </w:rPr>
        <w:t>商</w:t>
      </w:r>
      <w:r>
        <w:rPr>
          <w:rFonts w:hint="eastAsia" w:ascii="宋体" w:hAnsi="宋体" w:eastAsia="宋体" w:cs="宋体"/>
          <w:spacing w:val="8"/>
        </w:rPr>
        <w:t>务</w:t>
      </w:r>
      <w:r>
        <w:rPr>
          <w:rFonts w:hint="eastAsia" w:ascii="宋体" w:hAnsi="宋体" w:eastAsia="宋体" w:cs="宋体"/>
          <w:spacing w:val="6"/>
        </w:rPr>
        <w:t>应答表</w:t>
      </w:r>
    </w:p>
    <w:p>
      <w:pPr>
        <w:spacing w:line="576" w:lineRule="exact"/>
        <w:rPr>
          <w:rFonts w:ascii="宋体" w:hAnsi="宋体" w:eastAsia="宋体" w:cs="宋体"/>
        </w:rPr>
      </w:pPr>
    </w:p>
    <w:tbl>
      <w:tblPr>
        <w:tblStyle w:val="19"/>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1667"/>
        <w:gridCol w:w="4802"/>
        <w:gridCol w:w="131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tcPr>
          <w:p>
            <w:pPr>
              <w:spacing w:before="222" w:line="576" w:lineRule="exact"/>
              <w:ind w:left="188"/>
              <w:jc w:val="both"/>
              <w:rPr>
                <w:rFonts w:ascii="宋体" w:hAnsi="宋体" w:eastAsia="宋体" w:cs="宋体"/>
              </w:rPr>
            </w:pPr>
            <w:r>
              <w:rPr>
                <w:rFonts w:hint="eastAsia" w:ascii="宋体" w:hAnsi="宋体" w:eastAsia="宋体" w:cs="宋体"/>
                <w:spacing w:val="6"/>
              </w:rPr>
              <w:t>序</w:t>
            </w:r>
            <w:r>
              <w:rPr>
                <w:rFonts w:hint="eastAsia" w:ascii="宋体" w:hAnsi="宋体" w:eastAsia="宋体" w:cs="宋体"/>
                <w:spacing w:val="5"/>
              </w:rPr>
              <w:t>号</w:t>
            </w:r>
          </w:p>
        </w:tc>
        <w:tc>
          <w:tcPr>
            <w:tcW w:w="1667" w:type="dxa"/>
          </w:tcPr>
          <w:p>
            <w:pPr>
              <w:spacing w:before="222" w:line="576" w:lineRule="exact"/>
              <w:jc w:val="center"/>
              <w:rPr>
                <w:rFonts w:ascii="宋体" w:hAnsi="宋体" w:eastAsia="宋体" w:cs="宋体"/>
              </w:rPr>
            </w:pPr>
            <w:r>
              <w:rPr>
                <w:rFonts w:hint="eastAsia" w:ascii="宋体" w:hAnsi="宋体" w:eastAsia="宋体" w:cs="宋体"/>
                <w:spacing w:val="-10"/>
              </w:rPr>
              <w:t>内</w:t>
            </w:r>
            <w:r>
              <w:rPr>
                <w:rFonts w:hint="eastAsia" w:ascii="宋体" w:hAnsi="宋体" w:eastAsia="宋体" w:cs="宋体"/>
                <w:spacing w:val="-9"/>
              </w:rPr>
              <w:t>容</w:t>
            </w:r>
          </w:p>
        </w:tc>
        <w:tc>
          <w:tcPr>
            <w:tcW w:w="4802" w:type="dxa"/>
          </w:tcPr>
          <w:p>
            <w:pPr>
              <w:spacing w:before="223" w:line="576" w:lineRule="exact"/>
              <w:jc w:val="center"/>
              <w:rPr>
                <w:rFonts w:ascii="宋体" w:hAnsi="宋体" w:eastAsia="宋体" w:cs="宋体"/>
              </w:rPr>
            </w:pPr>
            <w:r>
              <w:rPr>
                <w:rFonts w:hint="eastAsia" w:ascii="宋体" w:hAnsi="宋体" w:eastAsia="宋体" w:cs="宋体"/>
                <w:spacing w:val="8"/>
              </w:rPr>
              <w:t>采购要</w:t>
            </w:r>
            <w:r>
              <w:rPr>
                <w:rFonts w:hint="eastAsia" w:ascii="宋体" w:hAnsi="宋体" w:eastAsia="宋体" w:cs="宋体"/>
                <w:spacing w:val="7"/>
              </w:rPr>
              <w:t>求</w:t>
            </w:r>
          </w:p>
        </w:tc>
        <w:tc>
          <w:tcPr>
            <w:tcW w:w="1314" w:type="dxa"/>
          </w:tcPr>
          <w:p>
            <w:pPr>
              <w:spacing w:before="222" w:line="576" w:lineRule="exact"/>
              <w:jc w:val="center"/>
              <w:rPr>
                <w:rFonts w:ascii="宋体" w:hAnsi="宋体" w:eastAsia="宋体" w:cs="宋体"/>
              </w:rPr>
            </w:pPr>
            <w:r>
              <w:rPr>
                <w:rFonts w:hint="eastAsia" w:ascii="宋体" w:hAnsi="宋体" w:eastAsia="宋体" w:cs="宋体"/>
                <w:spacing w:val="7"/>
              </w:rPr>
              <w:t>应</w:t>
            </w:r>
            <w:r>
              <w:rPr>
                <w:rFonts w:hint="eastAsia" w:ascii="宋体" w:hAnsi="宋体" w:eastAsia="宋体" w:cs="宋体"/>
                <w:spacing w:val="6"/>
              </w:rPr>
              <w:t>答</w:t>
            </w:r>
          </w:p>
        </w:tc>
        <w:tc>
          <w:tcPr>
            <w:tcW w:w="914" w:type="dxa"/>
          </w:tcPr>
          <w:p>
            <w:pPr>
              <w:spacing w:before="222" w:line="576" w:lineRule="exact"/>
              <w:jc w:val="center"/>
              <w:rPr>
                <w:rFonts w:ascii="宋体" w:hAnsi="宋体" w:eastAsia="宋体" w:cs="宋体"/>
              </w:rPr>
            </w:pPr>
            <w:r>
              <w:rPr>
                <w:rFonts w:hint="eastAsia" w:ascii="宋体" w:hAnsi="宋体" w:eastAsia="宋体" w:cs="宋体"/>
                <w:spacing w:val="4"/>
              </w:rPr>
              <w:t>备</w:t>
            </w:r>
            <w:r>
              <w:rPr>
                <w:rFonts w:hint="eastAsia" w:ascii="宋体" w:hAnsi="宋体" w:eastAsia="宋体" w:cs="宋体"/>
                <w:spacing w:val="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val="zh-CN"/>
              </w:rPr>
              <w:t>1</w:t>
            </w:r>
          </w:p>
        </w:tc>
        <w:tc>
          <w:tcPr>
            <w:tcW w:w="1667" w:type="dxa"/>
            <w:vAlign w:val="center"/>
          </w:tcPr>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val="zh-CN" w:eastAsia="zh-CN"/>
              </w:rPr>
              <w:t>工期要求</w:t>
            </w:r>
          </w:p>
        </w:tc>
        <w:tc>
          <w:tcPr>
            <w:tcW w:w="4802" w:type="dxa"/>
          </w:tcPr>
          <w:p>
            <w:pPr>
              <w:adjustRightInd w:val="0"/>
              <w:spacing w:line="320" w:lineRule="exact"/>
              <w:jc w:val="center"/>
              <w:rPr>
                <w:rFonts w:ascii="仿宋" w:hAnsi="仿宋" w:eastAsia="仿宋" w:cs="仿宋"/>
                <w:sz w:val="32"/>
                <w:szCs w:val="32"/>
                <w:lang w:val="zh-CN" w:eastAsia="zh-CN"/>
              </w:rPr>
            </w:pPr>
          </w:p>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val="zh-CN" w:eastAsia="zh-CN"/>
              </w:rPr>
              <w:t>合同签订后</w:t>
            </w:r>
            <w:r>
              <w:rPr>
                <w:rFonts w:hint="eastAsia" w:ascii="仿宋" w:hAnsi="仿宋" w:eastAsia="仿宋" w:cs="仿宋"/>
                <w:sz w:val="32"/>
                <w:szCs w:val="32"/>
                <w:lang w:eastAsia="zh-CN"/>
              </w:rPr>
              <w:t>40天内</w:t>
            </w:r>
            <w:r>
              <w:rPr>
                <w:rFonts w:hint="eastAsia" w:ascii="仿宋" w:hAnsi="仿宋" w:eastAsia="仿宋" w:cs="仿宋"/>
                <w:sz w:val="32"/>
                <w:szCs w:val="32"/>
                <w:lang w:val="zh-CN" w:eastAsia="zh-CN"/>
              </w:rPr>
              <w:t>交付使用</w:t>
            </w:r>
          </w:p>
        </w:tc>
        <w:tc>
          <w:tcPr>
            <w:tcW w:w="1314" w:type="dxa"/>
            <w:vAlign w:val="center"/>
          </w:tcPr>
          <w:p>
            <w:pPr>
              <w:adjustRightInd w:val="0"/>
              <w:spacing w:line="320" w:lineRule="exact"/>
              <w:jc w:val="center"/>
              <w:rPr>
                <w:rFonts w:hAnsi="宋体" w:eastAsia="宋体" w:cs="宋体"/>
                <w:lang w:eastAsia="zh-CN"/>
              </w:rPr>
            </w:pPr>
            <w:r>
              <w:rPr>
                <w:rFonts w:hint="eastAsia" w:hAnsi="宋体" w:eastAsia="宋体" w:cs="宋体"/>
                <w:lang w:eastAsia="zh-CN"/>
              </w:rPr>
              <w:t>完全响应</w:t>
            </w:r>
          </w:p>
        </w:tc>
        <w:tc>
          <w:tcPr>
            <w:tcW w:w="914" w:type="dxa"/>
          </w:tcPr>
          <w:p>
            <w:pPr>
              <w:spacing w:line="576" w:lineRule="exact"/>
              <w:jc w:val="center"/>
              <w:rPr>
                <w:rFonts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val="zh-CN"/>
              </w:rPr>
              <w:t>2</w:t>
            </w:r>
          </w:p>
        </w:tc>
        <w:tc>
          <w:tcPr>
            <w:tcW w:w="1667" w:type="dxa"/>
            <w:vAlign w:val="center"/>
          </w:tcPr>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eastAsia="zh-CN"/>
              </w:rPr>
              <w:t>实施</w:t>
            </w:r>
            <w:r>
              <w:rPr>
                <w:rFonts w:hint="eastAsia" w:ascii="仿宋" w:hAnsi="仿宋" w:eastAsia="仿宋" w:cs="仿宋"/>
                <w:sz w:val="32"/>
                <w:szCs w:val="32"/>
                <w:lang w:val="zh-CN" w:eastAsia="zh-CN"/>
              </w:rPr>
              <w:t>地点</w:t>
            </w:r>
          </w:p>
        </w:tc>
        <w:tc>
          <w:tcPr>
            <w:tcW w:w="4802"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eastAsia="zh-CN"/>
              </w:rPr>
              <w:t>江油大剧院三楼剧场</w:t>
            </w:r>
          </w:p>
        </w:tc>
        <w:tc>
          <w:tcPr>
            <w:tcW w:w="1314" w:type="dxa"/>
            <w:vAlign w:val="center"/>
          </w:tcPr>
          <w:p>
            <w:pPr>
              <w:adjustRightInd w:val="0"/>
              <w:spacing w:line="320" w:lineRule="exact"/>
              <w:jc w:val="center"/>
              <w:rPr>
                <w:rFonts w:hAnsi="宋体" w:eastAsia="宋体" w:cs="宋体"/>
                <w:lang w:eastAsia="zh-CN"/>
              </w:rPr>
            </w:pPr>
          </w:p>
        </w:tc>
        <w:tc>
          <w:tcPr>
            <w:tcW w:w="914" w:type="dxa"/>
          </w:tcPr>
          <w:p>
            <w:pPr>
              <w:spacing w:line="576" w:lineRule="exact"/>
              <w:jc w:val="center"/>
              <w:rPr>
                <w:rFonts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eastAsia="zh-CN"/>
              </w:rPr>
              <w:t>3</w:t>
            </w:r>
          </w:p>
        </w:tc>
        <w:tc>
          <w:tcPr>
            <w:tcW w:w="1667" w:type="dxa"/>
            <w:vAlign w:val="center"/>
          </w:tcPr>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val="zh-CN" w:eastAsia="zh-CN"/>
              </w:rPr>
              <w:t>验收要求</w:t>
            </w:r>
          </w:p>
        </w:tc>
        <w:tc>
          <w:tcPr>
            <w:tcW w:w="4802"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宋体" w:hAnsi="宋体" w:eastAsia="宋体" w:cs="宋体"/>
                <w:spacing w:val="8"/>
                <w:lang w:eastAsia="zh-CN"/>
              </w:rPr>
            </w:pPr>
            <w:r>
              <w:rPr>
                <w:rFonts w:hint="eastAsia" w:ascii="仿宋" w:hAnsi="仿宋" w:eastAsia="仿宋" w:cs="仿宋"/>
                <w:sz w:val="32"/>
                <w:szCs w:val="32"/>
                <w:lang w:val="zh-CN" w:eastAsia="zh-CN"/>
              </w:rPr>
              <w:t>按照</w:t>
            </w:r>
            <w:r>
              <w:rPr>
                <w:rFonts w:hint="eastAsia" w:ascii="仿宋" w:hAnsi="仿宋" w:eastAsia="仿宋" w:cs="仿宋"/>
                <w:sz w:val="32"/>
                <w:szCs w:val="32"/>
                <w:lang w:eastAsia="zh-CN"/>
              </w:rPr>
              <w:t>相关</w:t>
            </w:r>
            <w:r>
              <w:rPr>
                <w:rFonts w:hint="eastAsia" w:ascii="仿宋" w:hAnsi="仿宋" w:eastAsia="仿宋" w:cs="仿宋"/>
                <w:sz w:val="32"/>
                <w:szCs w:val="32"/>
                <w:lang w:val="zh-CN" w:eastAsia="zh-CN"/>
              </w:rPr>
              <w:t>要求</w:t>
            </w:r>
            <w:r>
              <w:rPr>
                <w:rFonts w:hint="eastAsia" w:ascii="仿宋" w:hAnsi="仿宋" w:eastAsia="仿宋" w:cs="仿宋"/>
                <w:sz w:val="32"/>
                <w:szCs w:val="32"/>
                <w:lang w:eastAsia="zh-CN"/>
              </w:rPr>
              <w:t>进行</w:t>
            </w:r>
            <w:r>
              <w:rPr>
                <w:rFonts w:hint="eastAsia" w:ascii="仿宋" w:hAnsi="仿宋" w:eastAsia="仿宋" w:cs="仿宋"/>
                <w:sz w:val="32"/>
                <w:szCs w:val="32"/>
                <w:lang w:val="zh-CN" w:eastAsia="zh-CN"/>
              </w:rPr>
              <w:t>验收</w:t>
            </w:r>
          </w:p>
        </w:tc>
        <w:tc>
          <w:tcPr>
            <w:tcW w:w="1314" w:type="dxa"/>
            <w:vAlign w:val="center"/>
          </w:tcPr>
          <w:p>
            <w:pPr>
              <w:adjustRightInd w:val="0"/>
              <w:spacing w:line="320" w:lineRule="exact"/>
              <w:jc w:val="center"/>
              <w:rPr>
                <w:rFonts w:hAnsi="宋体" w:eastAsia="宋体" w:cs="宋体"/>
                <w:lang w:eastAsia="zh-CN"/>
              </w:rPr>
            </w:pPr>
          </w:p>
        </w:tc>
        <w:tc>
          <w:tcPr>
            <w:tcW w:w="914" w:type="dxa"/>
          </w:tcPr>
          <w:p>
            <w:pPr>
              <w:spacing w:line="576" w:lineRule="exact"/>
              <w:jc w:val="center"/>
              <w:rPr>
                <w:rFonts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eastAsia="zh-CN"/>
              </w:rPr>
              <w:t>4</w:t>
            </w:r>
          </w:p>
        </w:tc>
        <w:tc>
          <w:tcPr>
            <w:tcW w:w="1667"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履约保证金</w:t>
            </w:r>
          </w:p>
        </w:tc>
        <w:tc>
          <w:tcPr>
            <w:tcW w:w="4802"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成</w:t>
            </w:r>
            <w:r>
              <w:rPr>
                <w:rFonts w:hint="eastAsia" w:ascii="仿宋" w:hAnsi="仿宋" w:eastAsia="仿宋" w:cs="仿宋"/>
                <w:sz w:val="32"/>
                <w:szCs w:val="32"/>
                <w:lang w:val="zh-CN" w:eastAsia="zh-CN"/>
              </w:rPr>
              <w:t>交投标人在中标后</w:t>
            </w:r>
            <w:r>
              <w:rPr>
                <w:rFonts w:hint="eastAsia" w:ascii="仿宋" w:hAnsi="仿宋" w:eastAsia="仿宋" w:cs="仿宋"/>
                <w:sz w:val="32"/>
                <w:szCs w:val="32"/>
                <w:lang w:eastAsia="zh-CN"/>
              </w:rPr>
              <w:t>5</w:t>
            </w:r>
            <w:r>
              <w:rPr>
                <w:rFonts w:hint="eastAsia" w:ascii="仿宋" w:hAnsi="仿宋" w:eastAsia="仿宋" w:cs="仿宋"/>
                <w:sz w:val="32"/>
                <w:szCs w:val="32"/>
                <w:lang w:val="zh-CN" w:eastAsia="zh-CN"/>
              </w:rPr>
              <w:t>个工作日内需缴纳成交合同金额5%的履约保证金</w:t>
            </w:r>
          </w:p>
        </w:tc>
        <w:tc>
          <w:tcPr>
            <w:tcW w:w="1314" w:type="dxa"/>
            <w:vAlign w:val="center"/>
          </w:tcPr>
          <w:p>
            <w:pPr>
              <w:adjustRightInd w:val="0"/>
              <w:spacing w:line="320" w:lineRule="exact"/>
              <w:jc w:val="center"/>
              <w:rPr>
                <w:rFonts w:hAnsi="宋体" w:eastAsia="宋体" w:cs="宋体"/>
                <w:lang w:eastAsia="zh-CN"/>
              </w:rPr>
            </w:pPr>
          </w:p>
        </w:tc>
        <w:tc>
          <w:tcPr>
            <w:tcW w:w="914" w:type="dxa"/>
          </w:tcPr>
          <w:p>
            <w:pPr>
              <w:spacing w:line="576" w:lineRule="exact"/>
              <w:jc w:val="center"/>
              <w:rPr>
                <w:rFonts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eastAsia="zh-CN"/>
              </w:rPr>
              <w:t>5</w:t>
            </w:r>
          </w:p>
        </w:tc>
        <w:tc>
          <w:tcPr>
            <w:tcW w:w="1667"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val="zh-CN" w:eastAsia="zh-CN"/>
              </w:rPr>
              <w:t>款项支付方式、进度</w:t>
            </w:r>
          </w:p>
        </w:tc>
        <w:tc>
          <w:tcPr>
            <w:tcW w:w="4802" w:type="dxa"/>
          </w:tcPr>
          <w:p>
            <w:pPr>
              <w:adjustRightInd w:val="0"/>
              <w:spacing w:line="320" w:lineRule="exact"/>
              <w:jc w:val="center"/>
              <w:rPr>
                <w:rFonts w:ascii="仿宋" w:hAnsi="仿宋" w:eastAsia="仿宋" w:cs="仿宋"/>
                <w:sz w:val="32"/>
                <w:szCs w:val="32"/>
                <w:lang w:eastAsia="zh-CN"/>
              </w:rPr>
            </w:pPr>
          </w:p>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详见附件8：合同主要条款</w:t>
            </w:r>
          </w:p>
        </w:tc>
        <w:tc>
          <w:tcPr>
            <w:tcW w:w="1314" w:type="dxa"/>
            <w:vAlign w:val="center"/>
          </w:tcPr>
          <w:p>
            <w:pPr>
              <w:adjustRightInd w:val="0"/>
              <w:spacing w:line="320" w:lineRule="exact"/>
              <w:jc w:val="center"/>
              <w:rPr>
                <w:rFonts w:hAnsi="宋体" w:eastAsia="宋体" w:cs="宋体"/>
                <w:lang w:eastAsia="zh-CN"/>
              </w:rPr>
            </w:pPr>
          </w:p>
        </w:tc>
        <w:tc>
          <w:tcPr>
            <w:tcW w:w="914" w:type="dxa"/>
          </w:tcPr>
          <w:p>
            <w:pPr>
              <w:spacing w:line="576" w:lineRule="exact"/>
              <w:jc w:val="center"/>
              <w:rPr>
                <w:rFonts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72" w:hRule="atLeast"/>
          <w:jc w:val="center"/>
        </w:trPr>
        <w:tc>
          <w:tcPr>
            <w:tcW w:w="844" w:type="dxa"/>
            <w:vAlign w:val="center"/>
          </w:tcPr>
          <w:p>
            <w:pPr>
              <w:spacing w:before="223" w:line="576" w:lineRule="exact"/>
              <w:jc w:val="center"/>
              <w:rPr>
                <w:rFonts w:ascii="宋体" w:hAnsi="宋体" w:eastAsia="宋体" w:cs="宋体"/>
                <w:spacing w:val="8"/>
                <w:lang w:eastAsia="zh-CN"/>
              </w:rPr>
            </w:pPr>
            <w:r>
              <w:rPr>
                <w:rFonts w:hint="eastAsia" w:ascii="宋体" w:hAnsi="宋体" w:eastAsia="宋体" w:cs="宋体"/>
                <w:spacing w:val="8"/>
                <w:lang w:eastAsia="zh-CN"/>
              </w:rPr>
              <w:t>6</w:t>
            </w:r>
          </w:p>
        </w:tc>
        <w:tc>
          <w:tcPr>
            <w:tcW w:w="1667"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val="zh-CN" w:eastAsia="zh-CN"/>
              </w:rPr>
              <w:t>其他</w:t>
            </w:r>
          </w:p>
        </w:tc>
        <w:tc>
          <w:tcPr>
            <w:tcW w:w="4802" w:type="dxa"/>
            <w:vAlign w:val="center"/>
          </w:tcPr>
          <w:p>
            <w:pPr>
              <w:adjustRightInd w:val="0"/>
              <w:spacing w:line="320" w:lineRule="exact"/>
              <w:jc w:val="center"/>
              <w:rPr>
                <w:rFonts w:ascii="仿宋" w:hAnsi="仿宋" w:eastAsia="仿宋" w:cs="仿宋"/>
                <w:sz w:val="32"/>
                <w:szCs w:val="32"/>
                <w:lang w:val="zh-CN" w:eastAsia="zh-CN"/>
              </w:rPr>
            </w:pPr>
            <w:r>
              <w:rPr>
                <w:rFonts w:hint="eastAsia" w:ascii="仿宋" w:hAnsi="仿宋" w:eastAsia="仿宋" w:cs="仿宋"/>
                <w:sz w:val="32"/>
                <w:szCs w:val="32"/>
                <w:lang w:eastAsia="zh-CN"/>
              </w:rPr>
              <w:t>无</w:t>
            </w:r>
          </w:p>
        </w:tc>
        <w:tc>
          <w:tcPr>
            <w:tcW w:w="1314" w:type="dxa"/>
            <w:vAlign w:val="center"/>
          </w:tcPr>
          <w:p>
            <w:pPr>
              <w:adjustRightInd w:val="0"/>
              <w:spacing w:line="320" w:lineRule="exact"/>
              <w:jc w:val="center"/>
              <w:rPr>
                <w:rFonts w:hAnsi="宋体" w:eastAsia="宋体" w:cs="宋体"/>
                <w:lang w:eastAsia="zh-CN"/>
              </w:rPr>
            </w:pPr>
          </w:p>
        </w:tc>
        <w:tc>
          <w:tcPr>
            <w:tcW w:w="914" w:type="dxa"/>
          </w:tcPr>
          <w:p>
            <w:pPr>
              <w:spacing w:line="576" w:lineRule="exact"/>
              <w:jc w:val="center"/>
              <w:rPr>
                <w:rFonts w:hAnsi="宋体" w:eastAsia="宋体" w:cs="宋体"/>
                <w:lang w:eastAsia="zh-CN"/>
              </w:rPr>
            </w:pPr>
          </w:p>
        </w:tc>
      </w:tr>
    </w:tbl>
    <w:p>
      <w:pPr>
        <w:spacing w:before="177" w:line="576" w:lineRule="exact"/>
        <w:ind w:left="14" w:firstLine="511"/>
        <w:rPr>
          <w:rFonts w:ascii="宋体" w:hAnsi="宋体" w:eastAsia="宋体" w:cs="宋体"/>
          <w:spacing w:val="28"/>
        </w:rPr>
      </w:pPr>
    </w:p>
    <w:p>
      <w:pPr>
        <w:spacing w:before="177" w:line="576" w:lineRule="exact"/>
        <w:ind w:left="14" w:firstLine="511"/>
        <w:rPr>
          <w:rFonts w:ascii="宋体" w:hAnsi="宋体" w:eastAsia="宋体" w:cs="宋体"/>
          <w:lang w:eastAsia="zh-CN"/>
        </w:rPr>
      </w:pPr>
      <w:r>
        <w:rPr>
          <w:rFonts w:hint="eastAsia" w:ascii="宋体" w:hAnsi="宋体" w:eastAsia="宋体" w:cs="宋体"/>
          <w:spacing w:val="28"/>
          <w:lang w:eastAsia="zh-CN"/>
        </w:rPr>
        <w:t>注</w:t>
      </w:r>
      <w:r>
        <w:rPr>
          <w:rFonts w:hint="eastAsia" w:ascii="宋体" w:hAnsi="宋体" w:eastAsia="宋体" w:cs="宋体"/>
          <w:spacing w:val="24"/>
          <w:lang w:eastAsia="zh-CN"/>
        </w:rPr>
        <w:t xml:space="preserve"> </w:t>
      </w:r>
      <w:r>
        <w:rPr>
          <w:rFonts w:hint="eastAsia" w:ascii="宋体" w:hAnsi="宋体" w:eastAsia="宋体" w:cs="宋体"/>
          <w:spacing w:val="14"/>
          <w:lang w:eastAsia="zh-CN"/>
        </w:rPr>
        <w:t>：投标人必须据实填写 (备注中可注明正、负或无偏离) ，不得虚假响应，否则将</w:t>
      </w:r>
      <w:r>
        <w:rPr>
          <w:rFonts w:hint="eastAsia" w:ascii="宋体" w:hAnsi="宋体" w:eastAsia="宋体" w:cs="宋体"/>
          <w:spacing w:val="29"/>
          <w:lang w:eastAsia="zh-CN"/>
        </w:rPr>
        <w:t>取</w:t>
      </w:r>
      <w:r>
        <w:rPr>
          <w:rFonts w:hint="eastAsia" w:ascii="宋体" w:hAnsi="宋体" w:eastAsia="宋体" w:cs="宋体"/>
          <w:spacing w:val="22"/>
          <w:lang w:eastAsia="zh-CN"/>
        </w:rPr>
        <w:t>消其成交资格</w:t>
      </w:r>
      <w:r>
        <w:rPr>
          <w:rFonts w:hint="eastAsia" w:ascii="宋体" w:hAnsi="宋体" w:eastAsia="宋体" w:cs="宋体"/>
          <w:spacing w:val="21"/>
          <w:lang w:eastAsia="zh-CN"/>
        </w:rPr>
        <w:t>。</w:t>
      </w:r>
    </w:p>
    <w:p>
      <w:pPr>
        <w:spacing w:line="576" w:lineRule="exact"/>
        <w:rPr>
          <w:rFonts w:ascii="宋体" w:hAnsi="宋体" w:eastAsia="宋体" w:cs="宋体"/>
          <w:lang w:eastAsia="zh-CN"/>
        </w:rPr>
      </w:pPr>
    </w:p>
    <w:p>
      <w:pPr>
        <w:spacing w:before="91" w:line="221" w:lineRule="auto"/>
        <w:ind w:firstLine="468" w:firstLineChars="200"/>
        <w:rPr>
          <w:rFonts w:ascii="宋体" w:hAnsi="宋体" w:eastAsia="宋体" w:cs="宋体"/>
          <w:spacing w:val="-2"/>
          <w:lang w:eastAsia="zh-CN"/>
        </w:rPr>
      </w:pPr>
      <w:r>
        <w:rPr>
          <w:rFonts w:hint="eastAsia" w:hAnsi="宋体" w:eastAsia="宋体" w:cs="宋体"/>
          <w:spacing w:val="-3"/>
          <w:lang w:eastAsia="zh-CN"/>
        </w:rPr>
        <w:t>投标人</w:t>
      </w:r>
      <w:r>
        <w:rPr>
          <w:rFonts w:ascii="宋体" w:hAnsi="宋体" w:eastAsia="宋体" w:cs="宋体"/>
          <w:spacing w:val="-2"/>
          <w:lang w:eastAsia="zh-CN"/>
        </w:rPr>
        <w:t>名称</w:t>
      </w:r>
      <w:r>
        <w:rPr>
          <w:rFonts w:hint="eastAsia" w:hAnsi="宋体" w:eastAsia="宋体" w:cs="宋体"/>
          <w:spacing w:val="-2"/>
          <w:lang w:eastAsia="zh-CN"/>
        </w:rPr>
        <w:t>（盖章）</w:t>
      </w:r>
      <w:r>
        <w:rPr>
          <w:rFonts w:ascii="宋体" w:hAnsi="宋体" w:eastAsia="宋体" w:cs="宋体"/>
          <w:spacing w:val="-2"/>
          <w:lang w:eastAsia="zh-CN"/>
        </w:rPr>
        <w:t>：</w:t>
      </w:r>
    </w:p>
    <w:p>
      <w:pPr>
        <w:pStyle w:val="2"/>
        <w:ind w:firstLine="472" w:firstLineChars="200"/>
        <w:rPr>
          <w:rFonts w:ascii="宋体" w:hAnsi="宋体" w:eastAsia="宋体" w:cs="宋体"/>
          <w:spacing w:val="-2"/>
          <w:sz w:val="24"/>
          <w:lang w:eastAsia="zh-CN"/>
        </w:rPr>
      </w:pPr>
    </w:p>
    <w:p>
      <w:pPr>
        <w:pStyle w:val="2"/>
        <w:ind w:firstLine="472" w:firstLineChars="200"/>
        <w:rPr>
          <w:rFonts w:ascii="宋体" w:hAnsi="宋体" w:eastAsia="宋体" w:cs="宋体"/>
          <w:spacing w:val="-2"/>
          <w:sz w:val="24"/>
          <w:lang w:eastAsia="zh-CN"/>
        </w:rPr>
      </w:pPr>
      <w:r>
        <w:rPr>
          <w:rFonts w:hint="eastAsia" w:ascii="宋体" w:hAnsi="宋体" w:eastAsia="宋体" w:cs="宋体"/>
          <w:spacing w:val="-2"/>
          <w:sz w:val="24"/>
          <w:lang w:eastAsia="zh-CN"/>
        </w:rPr>
        <w:t>法定代表人或授权代表（签字）：</w:t>
      </w:r>
    </w:p>
    <w:p>
      <w:pPr>
        <w:rPr>
          <w:lang w:eastAsia="zh-CN"/>
        </w:rPr>
      </w:pPr>
    </w:p>
    <w:p>
      <w:pPr>
        <w:spacing w:before="208" w:line="221" w:lineRule="auto"/>
        <w:ind w:firstLine="408" w:firstLineChars="200"/>
        <w:rPr>
          <w:lang w:eastAsia="zh-CN"/>
        </w:rPr>
      </w:pPr>
      <w:r>
        <w:rPr>
          <w:rFonts w:ascii="宋体" w:hAnsi="宋体" w:eastAsia="宋体" w:cs="宋体"/>
          <w:spacing w:val="-18"/>
          <w:lang w:eastAsia="zh-CN"/>
        </w:rPr>
        <w:t>日</w:t>
      </w:r>
      <w:r>
        <w:rPr>
          <w:rFonts w:ascii="宋体" w:hAnsi="宋体" w:eastAsia="宋体" w:cs="宋体"/>
          <w:spacing w:val="-10"/>
          <w:lang w:eastAsia="zh-CN"/>
        </w:rPr>
        <w:t xml:space="preserve"> </w:t>
      </w:r>
      <w:r>
        <w:rPr>
          <w:rFonts w:ascii="宋体" w:hAnsi="宋体" w:eastAsia="宋体" w:cs="宋体"/>
          <w:spacing w:val="-9"/>
          <w:lang w:eastAsia="zh-CN"/>
        </w:rPr>
        <w:t xml:space="preserve">    期 ：       年     月      日</w:t>
      </w:r>
      <w:bookmarkStart w:id="0" w:name="_bookmark32"/>
      <w:bookmarkEnd w:id="0"/>
    </w:p>
    <w:p>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附件6：法定代表人身份证明</w:t>
      </w:r>
    </w:p>
    <w:p>
      <w:pPr>
        <w:spacing w:before="163" w:line="576" w:lineRule="exact"/>
        <w:jc w:val="center"/>
        <w:outlineLvl w:val="2"/>
        <w:rPr>
          <w:rFonts w:ascii="仿宋_GB2312" w:hAnsi="仿宋_GB2312" w:eastAsia="仿宋_GB2312" w:cs="仿宋_GB2312"/>
          <w:b/>
          <w:bCs/>
          <w:sz w:val="32"/>
          <w:szCs w:val="32"/>
          <w:lang w:eastAsia="zh-CN"/>
        </w:rPr>
      </w:pPr>
      <w:r>
        <w:rPr>
          <w:rFonts w:hint="eastAsia" w:ascii="仿宋_GB2312" w:hAnsi="仿宋_GB2312" w:eastAsia="仿宋_GB2312" w:cs="仿宋_GB2312"/>
          <w:b/>
          <w:bCs/>
          <w:spacing w:val="13"/>
          <w:sz w:val="32"/>
          <w:szCs w:val="32"/>
          <w:lang w:eastAsia="zh-CN"/>
        </w:rPr>
        <w:t>法</w:t>
      </w:r>
      <w:r>
        <w:rPr>
          <w:rFonts w:hint="eastAsia" w:ascii="仿宋_GB2312" w:hAnsi="仿宋_GB2312" w:eastAsia="仿宋_GB2312" w:cs="仿宋_GB2312"/>
          <w:b/>
          <w:bCs/>
          <w:spacing w:val="9"/>
          <w:sz w:val="32"/>
          <w:szCs w:val="32"/>
          <w:lang w:eastAsia="zh-CN"/>
        </w:rPr>
        <w:t>定代表人身份证明</w:t>
      </w: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单位名称：</w:t>
      </w: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单位性质：</w:t>
      </w:r>
    </w:p>
    <w:p>
      <w:pPr>
        <w:spacing w:before="75"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地址：</w:t>
      </w:r>
    </w:p>
    <w:p>
      <w:pPr>
        <w:spacing w:before="75"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成立时间：    年     月     日</w:t>
      </w:r>
    </w:p>
    <w:p>
      <w:pPr>
        <w:spacing w:before="75"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经营期限：</w:t>
      </w:r>
    </w:p>
    <w:p>
      <w:pPr>
        <w:spacing w:before="75" w:line="360" w:lineRule="auto"/>
        <w:ind w:firstLine="640" w:firstLineChars="200"/>
        <w:rPr>
          <w:rFonts w:ascii="仿宋_GB2312" w:hAnsi="仿宋_GB2312" w:eastAsia="仿宋_GB2312" w:cs="仿宋_GB2312"/>
          <w:sz w:val="32"/>
          <w:szCs w:val="32"/>
          <w:lang w:eastAsia="zh-CN"/>
        </w:rPr>
      </w:pPr>
    </w:p>
    <w:p>
      <w:pPr>
        <w:spacing w:before="75"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姓名：       性别：       身份证号码：       年龄：     职务：    系（单位名称）的法定代表人。</w:t>
      </w:r>
    </w:p>
    <w:p>
      <w:pPr>
        <w:spacing w:before="75" w:line="360" w:lineRule="auto"/>
        <w:ind w:firstLine="640" w:firstLineChars="200"/>
        <w:rPr>
          <w:rFonts w:ascii="仿宋_GB2312" w:hAnsi="仿宋_GB2312" w:eastAsia="仿宋_GB2312" w:cs="仿宋_GB2312"/>
          <w:sz w:val="32"/>
          <w:szCs w:val="32"/>
          <w:lang w:eastAsia="zh-CN"/>
        </w:rPr>
      </w:pPr>
    </w:p>
    <w:p>
      <w:pPr>
        <w:spacing w:line="360" w:lineRule="auto"/>
        <w:ind w:left="511"/>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特此证明。</w:t>
      </w:r>
    </w:p>
    <w:p>
      <w:pPr>
        <w:spacing w:line="360" w:lineRule="auto"/>
        <w:rPr>
          <w:rFonts w:ascii="仿宋_GB2312" w:hAnsi="仿宋_GB2312" w:eastAsia="仿宋_GB2312" w:cs="仿宋_GB2312"/>
          <w:sz w:val="32"/>
          <w:szCs w:val="32"/>
          <w:lang w:eastAsia="zh-CN"/>
        </w:rPr>
      </w:pP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投标单位名称：            (盖章)</w:t>
      </w: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日    期 ：       年      月     日</w:t>
      </w:r>
    </w:p>
    <w:p>
      <w:pPr>
        <w:spacing w:line="360" w:lineRule="auto"/>
        <w:ind w:firstLine="640" w:firstLineChars="200"/>
        <w:rPr>
          <w:rFonts w:ascii="仿宋_GB2312" w:hAnsi="仿宋_GB2312" w:eastAsia="仿宋_GB2312" w:cs="仿宋_GB2312"/>
          <w:sz w:val="32"/>
          <w:szCs w:val="32"/>
          <w:lang w:eastAsia="zh-CN"/>
        </w:rPr>
      </w:pP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附：法定代表人联系地址：</w:t>
      </w:r>
    </w:p>
    <w:p>
      <w:pPr>
        <w:pStyle w:val="2"/>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联系电话：</w:t>
      </w:r>
    </w:p>
    <w:p>
      <w:pPr>
        <w:spacing w:line="360" w:lineRule="auto"/>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法定代表人身份证复印件粘贴（正面+反面）：</w:t>
      </w:r>
    </w:p>
    <w:p>
      <w:pPr>
        <w:pStyle w:val="10"/>
        <w:ind w:left="480" w:firstLine="480"/>
        <w:rPr>
          <w:lang w:eastAsia="zh-CN"/>
        </w:rPr>
      </w:pPr>
    </w:p>
    <w:p>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附件7：授权委托书模版</w:t>
      </w:r>
    </w:p>
    <w:p>
      <w:pPr>
        <w:spacing w:before="75" w:line="576" w:lineRule="exact"/>
        <w:jc w:val="center"/>
        <w:rPr>
          <w:rFonts w:ascii="方正小标宋简体" w:hAnsi="方正小标宋简体" w:eastAsia="方正小标宋简体" w:cs="方正小标宋简体"/>
          <w:spacing w:val="9"/>
          <w:sz w:val="32"/>
          <w:szCs w:val="32"/>
          <w:lang w:eastAsia="zh-CN"/>
        </w:rPr>
      </w:pPr>
      <w:r>
        <w:rPr>
          <w:rFonts w:hint="eastAsia" w:ascii="方正小标宋简体" w:hAnsi="方正小标宋简体" w:eastAsia="方正小标宋简体" w:cs="方正小标宋简体"/>
          <w:spacing w:val="9"/>
          <w:sz w:val="32"/>
          <w:szCs w:val="32"/>
          <w:lang w:eastAsia="zh-CN"/>
        </w:rPr>
        <w:t>授权委托书</w:t>
      </w:r>
    </w:p>
    <w:p>
      <w:pPr>
        <w:spacing w:before="36" w:line="576" w:lineRule="exact"/>
        <w:rPr>
          <w:rFonts w:ascii="仿宋" w:hAnsi="仿宋" w:eastAsia="仿宋" w:cs="仿宋"/>
          <w:sz w:val="32"/>
          <w:szCs w:val="32"/>
          <w:lang w:eastAsia="zh-CN"/>
        </w:rPr>
      </w:pPr>
      <w:r>
        <w:rPr>
          <w:rFonts w:hint="eastAsia" w:ascii="仿宋" w:hAnsi="仿宋" w:eastAsia="仿宋" w:cs="仿宋"/>
          <w:sz w:val="32"/>
          <w:szCs w:val="32"/>
          <w:lang w:eastAsia="zh-CN"/>
        </w:rPr>
        <w:t>江油市李白故居文化旅游开发有限公司：</w:t>
      </w: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 xml:space="preserve">本授权声明：                 (投标单位名称)          (法人单位法定代表人姓名、职务；非法人单位负责人姓名、职务； 自然人则为投标单位姓名) 授权                    (被授权人姓名、职务)          （联系电话）为我方 “江油大剧院三楼剧场舞台扩声、灯光及观众厅照明系统改造项目” 项目比选活动的合法代表，以我方名义全权处理该项目有关竞标、签订合同以及执行合同等一切事宜。 </w:t>
      </w: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特此声明。</w:t>
      </w:r>
    </w:p>
    <w:p>
      <w:pPr>
        <w:spacing w:before="36" w:line="576" w:lineRule="exact"/>
        <w:ind w:left="10" w:firstLine="640" w:firstLineChars="200"/>
        <w:rPr>
          <w:rFonts w:ascii="仿宋" w:hAnsi="仿宋" w:eastAsia="仿宋" w:cs="仿宋"/>
          <w:sz w:val="32"/>
          <w:szCs w:val="32"/>
          <w:lang w:eastAsia="zh-CN"/>
        </w:rPr>
      </w:pP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法定代表人（签字）：</w:t>
      </w:r>
    </w:p>
    <w:p>
      <w:pPr>
        <w:spacing w:before="36" w:line="576" w:lineRule="exact"/>
        <w:ind w:left="10" w:firstLine="640" w:firstLineChars="200"/>
        <w:rPr>
          <w:rFonts w:ascii="仿宋" w:hAnsi="仿宋" w:eastAsia="仿宋" w:cs="仿宋"/>
          <w:sz w:val="32"/>
          <w:szCs w:val="32"/>
          <w:lang w:eastAsia="zh-CN"/>
        </w:rPr>
      </w:pP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授权代表（签字）：</w:t>
      </w:r>
    </w:p>
    <w:p>
      <w:pPr>
        <w:spacing w:before="36" w:line="576" w:lineRule="exact"/>
        <w:ind w:left="10" w:firstLine="640" w:firstLineChars="200"/>
        <w:rPr>
          <w:rFonts w:ascii="仿宋" w:hAnsi="仿宋" w:eastAsia="仿宋" w:cs="仿宋"/>
          <w:sz w:val="32"/>
          <w:szCs w:val="32"/>
          <w:lang w:eastAsia="zh-CN"/>
        </w:rPr>
      </w:pP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投标单位名称：</w:t>
      </w:r>
    </w:p>
    <w:p>
      <w:pPr>
        <w:spacing w:before="36" w:line="576" w:lineRule="exact"/>
        <w:ind w:left="10" w:firstLine="640" w:firstLineChars="200"/>
        <w:rPr>
          <w:rFonts w:ascii="仿宋" w:hAnsi="仿宋" w:eastAsia="仿宋" w:cs="仿宋"/>
          <w:sz w:val="32"/>
          <w:szCs w:val="32"/>
          <w:lang w:eastAsia="zh-CN"/>
        </w:rPr>
      </w:pPr>
    </w:p>
    <w:p>
      <w:pPr>
        <w:spacing w:before="36" w:line="576" w:lineRule="exact"/>
        <w:ind w:left="1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日期：       年   月   日</w:t>
      </w:r>
    </w:p>
    <w:p>
      <w:pPr>
        <w:spacing w:line="512" w:lineRule="exact"/>
        <w:rPr>
          <w:lang w:eastAsia="zh-CN"/>
        </w:rPr>
      </w:pPr>
    </w:p>
    <w:p>
      <w:pPr>
        <w:spacing w:before="163" w:line="576" w:lineRule="exact"/>
        <w:ind w:left="3110"/>
        <w:outlineLvl w:val="2"/>
        <w:rPr>
          <w:rFonts w:ascii="宋体" w:hAnsi="宋体" w:eastAsia="宋体" w:cs="宋体"/>
          <w:spacing w:val="17"/>
          <w:sz w:val="28"/>
          <w:szCs w:val="28"/>
          <w:lang w:eastAsia="zh-CN"/>
        </w:rPr>
      </w:pPr>
    </w:p>
    <w:p>
      <w:pPr>
        <w:pStyle w:val="2"/>
        <w:rPr>
          <w:rFonts w:ascii="宋体" w:hAnsi="宋体" w:eastAsia="宋体" w:cs="宋体"/>
          <w:spacing w:val="17"/>
          <w:szCs w:val="28"/>
          <w:lang w:eastAsia="zh-CN"/>
        </w:rPr>
      </w:pPr>
    </w:p>
    <w:p>
      <w:pPr>
        <w:rPr>
          <w:rFonts w:ascii="宋体" w:hAnsi="宋体" w:eastAsia="宋体" w:cs="宋体"/>
          <w:spacing w:val="17"/>
          <w:sz w:val="28"/>
          <w:szCs w:val="28"/>
          <w:lang w:eastAsia="zh-CN"/>
        </w:rPr>
      </w:pPr>
    </w:p>
    <w:p>
      <w:pPr>
        <w:rPr>
          <w:lang w:eastAsia="zh-CN"/>
        </w:rPr>
        <w:sectPr>
          <w:pgSz w:w="11906" w:h="16838"/>
          <w:pgMar w:top="1440" w:right="1134" w:bottom="1440" w:left="1134" w:header="851" w:footer="992" w:gutter="0"/>
          <w:cols w:space="0" w:num="1"/>
          <w:docGrid w:type="lines" w:linePitch="332" w:charSpace="0"/>
        </w:sectPr>
      </w:pPr>
    </w:p>
    <w:p>
      <w:pPr>
        <w:spacing w:line="574" w:lineRule="exact"/>
        <w:rPr>
          <w:rFonts w:ascii="仿宋" w:hAnsi="仿宋" w:eastAsia="仿宋" w:cs="仿宋"/>
          <w:sz w:val="32"/>
          <w:szCs w:val="32"/>
          <w:lang w:eastAsia="zh-CN"/>
        </w:rPr>
      </w:pPr>
      <w:r>
        <w:rPr>
          <w:rFonts w:hint="eastAsia" w:ascii="仿宋" w:hAnsi="仿宋" w:eastAsia="仿宋" w:cs="仿宋"/>
          <w:sz w:val="32"/>
          <w:szCs w:val="32"/>
          <w:lang w:eastAsia="zh-CN"/>
        </w:rPr>
        <w:t>附件8：合同主要条款</w:t>
      </w:r>
    </w:p>
    <w:p>
      <w:pPr>
        <w:spacing w:after="166" w:afterLines="50"/>
        <w:jc w:val="center"/>
        <w:outlineLvl w:val="0"/>
        <w:rPr>
          <w:rFonts w:ascii="仿宋" w:hAnsi="仿宋" w:eastAsia="仿宋" w:cs="仿宋"/>
          <w:b/>
          <w:bCs/>
          <w:kern w:val="44"/>
          <w:sz w:val="44"/>
          <w:szCs w:val="44"/>
          <w:lang w:eastAsia="zh-CN" w:bidi="ar-SA"/>
        </w:rPr>
      </w:pPr>
      <w:r>
        <w:rPr>
          <w:rFonts w:hint="eastAsia" w:ascii="仿宋" w:hAnsi="仿宋" w:eastAsia="仿宋" w:cs="仿宋"/>
          <w:b/>
          <w:bCs/>
          <w:kern w:val="44"/>
          <w:sz w:val="44"/>
          <w:szCs w:val="44"/>
          <w:lang w:eastAsia="zh-CN" w:bidi="ar-SA"/>
        </w:rPr>
        <w:t>江油大剧院三楼剧场舞台扩声、灯光及观众厅照明系统改造项目</w:t>
      </w:r>
    </w:p>
    <w:p>
      <w:pPr>
        <w:spacing w:after="166" w:afterLines="50"/>
        <w:jc w:val="center"/>
        <w:outlineLvl w:val="0"/>
        <w:rPr>
          <w:rFonts w:ascii="仿宋" w:hAnsi="仿宋" w:eastAsia="仿宋" w:cs="仿宋"/>
          <w:b/>
          <w:bCs/>
          <w:sz w:val="48"/>
          <w:szCs w:val="48"/>
          <w:lang w:eastAsia="zh-CN"/>
        </w:rPr>
      </w:pPr>
      <w:r>
        <w:rPr>
          <w:rFonts w:hint="eastAsia" w:ascii="仿宋" w:hAnsi="仿宋" w:eastAsia="仿宋" w:cs="仿宋"/>
          <w:b/>
          <w:bCs/>
          <w:kern w:val="44"/>
          <w:sz w:val="44"/>
          <w:szCs w:val="44"/>
          <w:lang w:eastAsia="zh-CN" w:bidi="ar-SA"/>
        </w:rPr>
        <w:t>合同书</w:t>
      </w:r>
    </w:p>
    <w:p>
      <w:pPr>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签订地点：</w:t>
      </w:r>
    </w:p>
    <w:p>
      <w:pPr>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签订时间：2024年  月   日</w:t>
      </w:r>
    </w:p>
    <w:p>
      <w:pPr>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 xml:space="preserve">采购人（甲方）：                             </w:t>
      </w:r>
    </w:p>
    <w:p>
      <w:pPr>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 xml:space="preserve">供应商（乙方）：                            </w:t>
      </w:r>
      <w:r>
        <w:rPr>
          <w:rFonts w:hint="eastAsia" w:ascii="仿宋" w:hAnsi="仿宋" w:eastAsia="仿宋" w:cs="仿宋"/>
          <w:sz w:val="22"/>
          <w:szCs w:val="28"/>
          <w:lang w:eastAsia="zh-CN"/>
        </w:rPr>
        <w:t xml:space="preserve">                                       </w:t>
      </w:r>
    </w:p>
    <w:p>
      <w:pPr>
        <w:spacing w:line="400" w:lineRule="exact"/>
        <w:rPr>
          <w:rFonts w:ascii="仿宋" w:hAnsi="仿宋" w:eastAsia="仿宋" w:cs="仿宋"/>
          <w:sz w:val="28"/>
          <w:szCs w:val="28"/>
          <w:lang w:eastAsia="zh-CN"/>
        </w:rPr>
      </w:pP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根据《中华人民共和国民法典》，甲、乙双方同意签订本合同，双方同意共同遵守如下条款：</w:t>
      </w:r>
    </w:p>
    <w:p>
      <w:pPr>
        <w:pStyle w:val="5"/>
        <w:spacing w:line="400" w:lineRule="exact"/>
        <w:ind w:firstLine="562" w:firstLineChars="200"/>
        <w:rPr>
          <w:rFonts w:ascii="仿宋" w:hAnsi="仿宋" w:eastAsia="仿宋" w:cs="仿宋"/>
          <w:sz w:val="28"/>
          <w:szCs w:val="28"/>
        </w:rPr>
      </w:pPr>
      <w:bookmarkStart w:id="1" w:name="_Toc7099"/>
      <w:bookmarkStart w:id="2" w:name="_Toc22748"/>
      <w:bookmarkStart w:id="3" w:name="_Toc5847"/>
      <w:bookmarkStart w:id="4" w:name="_Toc16784"/>
      <w:bookmarkStart w:id="5" w:name="_Toc471310434"/>
      <w:bookmarkStart w:id="6" w:name="_Toc4563"/>
      <w:bookmarkStart w:id="7" w:name="_Toc217446107"/>
      <w:bookmarkStart w:id="8" w:name="_Toc17369"/>
      <w:r>
        <w:rPr>
          <w:rFonts w:hint="eastAsia" w:ascii="仿宋" w:hAnsi="仿宋" w:eastAsia="仿宋" w:cs="仿宋"/>
          <w:sz w:val="28"/>
          <w:szCs w:val="28"/>
        </w:rPr>
        <w:t>一、合同货物</w:t>
      </w:r>
      <w:bookmarkEnd w:id="1"/>
      <w:bookmarkEnd w:id="2"/>
      <w:bookmarkEnd w:id="3"/>
      <w:bookmarkEnd w:id="4"/>
      <w:bookmarkEnd w:id="5"/>
      <w:bookmarkEnd w:id="6"/>
      <w:bookmarkEnd w:id="7"/>
      <w:bookmarkEnd w:id="8"/>
    </w:p>
    <w:tbl>
      <w:tblPr>
        <w:tblStyle w:val="11"/>
        <w:tblW w:w="9451" w:type="dxa"/>
        <w:jc w:val="center"/>
        <w:tblCellSpacing w:w="0" w:type="dxa"/>
        <w:tblLayout w:type="fixed"/>
        <w:tblCellMar>
          <w:top w:w="0" w:type="dxa"/>
          <w:left w:w="0" w:type="dxa"/>
          <w:bottom w:w="0" w:type="dxa"/>
          <w:right w:w="0" w:type="dxa"/>
        </w:tblCellMar>
      </w:tblPr>
      <w:tblGrid>
        <w:gridCol w:w="665"/>
        <w:gridCol w:w="1483"/>
        <w:gridCol w:w="1729"/>
        <w:gridCol w:w="690"/>
        <w:gridCol w:w="579"/>
        <w:gridCol w:w="1320"/>
        <w:gridCol w:w="1298"/>
        <w:gridCol w:w="1102"/>
        <w:gridCol w:w="585"/>
      </w:tblGrid>
      <w:tr>
        <w:tblPrEx>
          <w:tblCellMar>
            <w:top w:w="0" w:type="dxa"/>
            <w:left w:w="0" w:type="dxa"/>
            <w:bottom w:w="0" w:type="dxa"/>
            <w:right w:w="0" w:type="dxa"/>
          </w:tblCellMar>
        </w:tblPrEx>
        <w:trPr>
          <w:trHeight w:val="60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bookmarkStart w:id="9" w:name="_Toc11555"/>
            <w:bookmarkStart w:id="10" w:name="_Toc3508"/>
            <w:bookmarkStart w:id="11" w:name="_Toc7364"/>
            <w:bookmarkStart w:id="12" w:name="_Toc11081"/>
            <w:bookmarkStart w:id="13" w:name="_Toc217446108"/>
            <w:bookmarkStart w:id="14" w:name="_Toc29585"/>
            <w:bookmarkStart w:id="15" w:name="_Toc7151"/>
            <w:bookmarkStart w:id="16" w:name="_Toc471310435"/>
            <w:r>
              <w:rPr>
                <w:rFonts w:hint="eastAsia" w:ascii="仿宋" w:hAnsi="仿宋" w:eastAsia="仿宋" w:cs="仿宋"/>
                <w:b/>
                <w:bCs/>
                <w:sz w:val="21"/>
                <w:lang w:eastAsia="zh-CN"/>
              </w:rPr>
              <w:t>序号</w:t>
            </w: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大类名称</w:t>
            </w: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小类名称</w:t>
            </w: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数量</w:t>
            </w: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单位</w:t>
            </w: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单价（元）</w:t>
            </w: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复价（元）</w:t>
            </w: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品牌名称</w:t>
            </w: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b/>
                <w:bCs/>
                <w:sz w:val="21"/>
                <w:lang w:eastAsia="zh-CN"/>
              </w:rPr>
            </w:pPr>
            <w:r>
              <w:rPr>
                <w:rFonts w:hint="eastAsia" w:ascii="仿宋" w:hAnsi="仿宋" w:eastAsia="仿宋" w:cs="仿宋"/>
                <w:b/>
                <w:bCs/>
                <w:sz w:val="21"/>
                <w:lang w:eastAsia="zh-CN"/>
              </w:rPr>
              <w:t>备注</w:t>
            </w:r>
          </w:p>
        </w:tc>
      </w:tr>
      <w:tr>
        <w:tblPrEx>
          <w:tblCellMar>
            <w:top w:w="0" w:type="dxa"/>
            <w:left w:w="0" w:type="dxa"/>
            <w:bottom w:w="0" w:type="dxa"/>
            <w:right w:w="0" w:type="dxa"/>
          </w:tblCellMar>
        </w:tblPrEx>
        <w:trPr>
          <w:trHeight w:val="52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vMerge w:val="restart"/>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417"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36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440"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62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60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38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r>
        <w:tblPrEx>
          <w:tblCellMar>
            <w:top w:w="0" w:type="dxa"/>
            <w:left w:w="0" w:type="dxa"/>
            <w:bottom w:w="0" w:type="dxa"/>
            <w:right w:w="0" w:type="dxa"/>
          </w:tblCellMar>
        </w:tblPrEx>
        <w:trPr>
          <w:trHeight w:val="31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ascii="仿宋" w:hAnsi="仿宋" w:eastAsia="仿宋" w:cs="仿宋"/>
                <w:sz w:val="21"/>
                <w:lang w:eastAsia="zh-CN"/>
              </w:rPr>
            </w:pPr>
          </w:p>
        </w:tc>
      </w:tr>
    </w:tbl>
    <w:p>
      <w:pPr>
        <w:rPr>
          <w:rFonts w:ascii="仿宋" w:hAnsi="仿宋" w:eastAsia="仿宋" w:cs="仿宋"/>
          <w:sz w:val="28"/>
          <w:szCs w:val="28"/>
        </w:rPr>
      </w:pPr>
      <w:r>
        <w:rPr>
          <w:rFonts w:hint="eastAsia" w:ascii="仿宋" w:hAnsi="仿宋" w:eastAsia="仿宋" w:cs="仿宋"/>
          <w:sz w:val="28"/>
          <w:szCs w:val="28"/>
        </w:rPr>
        <w:br w:type="page"/>
      </w:r>
    </w:p>
    <w:p>
      <w:pPr>
        <w:pStyle w:val="5"/>
        <w:spacing w:line="400" w:lineRule="exact"/>
        <w:ind w:firstLine="562" w:firstLineChars="200"/>
        <w:rPr>
          <w:rFonts w:ascii="仿宋" w:hAnsi="仿宋" w:eastAsia="仿宋" w:cs="仿宋"/>
          <w:sz w:val="28"/>
          <w:szCs w:val="28"/>
        </w:rPr>
      </w:pPr>
      <w:r>
        <w:rPr>
          <w:rFonts w:hint="eastAsia" w:ascii="仿宋" w:hAnsi="仿宋" w:eastAsia="仿宋" w:cs="仿宋"/>
          <w:sz w:val="28"/>
          <w:szCs w:val="28"/>
        </w:rPr>
        <w:t>二、合同总价</w:t>
      </w:r>
      <w:bookmarkEnd w:id="9"/>
      <w:bookmarkEnd w:id="10"/>
      <w:bookmarkEnd w:id="11"/>
      <w:bookmarkEnd w:id="12"/>
      <w:bookmarkEnd w:id="13"/>
      <w:bookmarkEnd w:id="14"/>
      <w:bookmarkEnd w:id="15"/>
      <w:bookmarkEnd w:id="16"/>
    </w:p>
    <w:p>
      <w:pPr>
        <w:pStyle w:val="6"/>
        <w:spacing w:line="400" w:lineRule="exact"/>
        <w:ind w:firstLine="490" w:firstLineChars="175"/>
        <w:rPr>
          <w:rFonts w:ascii="仿宋" w:hAnsi="仿宋" w:eastAsia="仿宋" w:cs="仿宋"/>
          <w:sz w:val="28"/>
          <w:szCs w:val="28"/>
          <w:lang w:eastAsia="zh-CN"/>
        </w:rPr>
      </w:pPr>
      <w:r>
        <w:rPr>
          <w:rFonts w:hint="eastAsia" w:ascii="仿宋" w:hAnsi="仿宋" w:eastAsia="仿宋" w:cs="仿宋"/>
          <w:sz w:val="28"/>
          <w:szCs w:val="28"/>
          <w:lang w:eastAsia="zh-CN"/>
        </w:rPr>
        <w:t>合同总价为人民币大写：</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元，即RMB￥</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元；该合同总价已包括货物设计、材料、制造、包装、运输、安装、调试、检测、验收合格交付使用之前及保修期内保修服务与备用物件等等所有其他有关各项的含税费用。本合同执行期间合同总价不变，甲方无须另向乙方支付本合同规定之外的其他任何费用。</w:t>
      </w:r>
    </w:p>
    <w:p>
      <w:pPr>
        <w:pStyle w:val="5"/>
        <w:spacing w:line="400" w:lineRule="exact"/>
        <w:ind w:firstLine="562" w:firstLineChars="200"/>
        <w:rPr>
          <w:rFonts w:ascii="仿宋" w:hAnsi="仿宋" w:eastAsia="仿宋" w:cs="仿宋"/>
          <w:sz w:val="28"/>
          <w:szCs w:val="28"/>
          <w:lang w:eastAsia="zh-CN"/>
        </w:rPr>
      </w:pPr>
      <w:bookmarkStart w:id="17" w:name="_Toc471310436"/>
      <w:bookmarkStart w:id="18" w:name="_Toc13035"/>
      <w:bookmarkStart w:id="19" w:name="_Toc26884"/>
      <w:bookmarkStart w:id="20" w:name="_Toc217446109"/>
      <w:bookmarkStart w:id="21" w:name="_Toc17717"/>
      <w:bookmarkStart w:id="22" w:name="_Toc4148"/>
      <w:bookmarkStart w:id="23" w:name="_Toc22808"/>
      <w:bookmarkStart w:id="24" w:name="_Toc20238"/>
      <w:r>
        <w:rPr>
          <w:rFonts w:hint="eastAsia" w:ascii="仿宋" w:hAnsi="仿宋" w:eastAsia="仿宋" w:cs="仿宋"/>
          <w:sz w:val="28"/>
          <w:szCs w:val="28"/>
          <w:lang w:eastAsia="zh-CN"/>
        </w:rPr>
        <w:t>三、质量要求</w:t>
      </w:r>
      <w:bookmarkEnd w:id="17"/>
      <w:bookmarkEnd w:id="18"/>
      <w:bookmarkEnd w:id="19"/>
      <w:bookmarkEnd w:id="20"/>
      <w:bookmarkEnd w:id="21"/>
      <w:bookmarkEnd w:id="22"/>
      <w:bookmarkEnd w:id="23"/>
      <w:bookmarkEnd w:id="24"/>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1、乙方须提供全新的货物（含零部件、配件等），表面无划伤、无碰撞痕迹，且权属清楚，不得侵害他人的知识产权。</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2、货物必须符合或优于国家（行业）标准，以及本项目竞争性磋商文件的质量要求和技术指标与出厂标准。</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3、货物制造质量出现问题，乙方应负责三包（包修、包换、包退），费用由乙方负担，甲方有权到乙方生产场地检查货物质量和生产进度。</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4、货到现场后由于甲方保管不当造成的质量问题，乙方亦应负责修理，但费用由甲方负担。</w:t>
      </w:r>
    </w:p>
    <w:p>
      <w:pPr>
        <w:pStyle w:val="5"/>
        <w:spacing w:line="400" w:lineRule="exact"/>
        <w:ind w:firstLine="562" w:firstLineChars="200"/>
        <w:rPr>
          <w:rFonts w:ascii="仿宋" w:hAnsi="仿宋" w:eastAsia="仿宋" w:cs="仿宋"/>
          <w:sz w:val="28"/>
          <w:szCs w:val="28"/>
          <w:lang w:eastAsia="zh-CN"/>
        </w:rPr>
      </w:pPr>
      <w:bookmarkStart w:id="25" w:name="_Toc14930"/>
      <w:bookmarkStart w:id="26" w:name="_Toc9749"/>
      <w:bookmarkStart w:id="27" w:name="_Toc543"/>
      <w:bookmarkStart w:id="28" w:name="_Toc471310437"/>
      <w:bookmarkStart w:id="29" w:name="_Toc21792"/>
      <w:bookmarkStart w:id="30" w:name="_Toc17123"/>
      <w:bookmarkStart w:id="31" w:name="_Toc217446110"/>
      <w:bookmarkStart w:id="32" w:name="_Toc28012"/>
      <w:r>
        <w:rPr>
          <w:rFonts w:hint="eastAsia" w:ascii="仿宋" w:hAnsi="仿宋" w:eastAsia="仿宋" w:cs="仿宋"/>
          <w:sz w:val="28"/>
          <w:szCs w:val="28"/>
          <w:lang w:eastAsia="zh-CN"/>
        </w:rPr>
        <w:t>四、交货及验收</w:t>
      </w:r>
      <w:bookmarkEnd w:id="25"/>
      <w:bookmarkEnd w:id="26"/>
      <w:bookmarkEnd w:id="27"/>
      <w:bookmarkEnd w:id="28"/>
      <w:bookmarkEnd w:id="29"/>
      <w:bookmarkEnd w:id="30"/>
      <w:bookmarkEnd w:id="31"/>
      <w:bookmarkEnd w:id="32"/>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1、乙方交货期限为合同签订生效后的</w:t>
      </w:r>
      <w:r>
        <w:rPr>
          <w:rFonts w:hint="eastAsia" w:ascii="仿宋" w:hAnsi="仿宋" w:eastAsia="仿宋" w:cs="仿宋"/>
          <w:sz w:val="28"/>
          <w:szCs w:val="22"/>
          <w:u w:val="single"/>
          <w:lang w:eastAsia="zh-CN"/>
        </w:rPr>
        <w:t>40</w:t>
      </w:r>
      <w:r>
        <w:rPr>
          <w:rFonts w:hint="eastAsia" w:ascii="仿宋" w:hAnsi="仿宋" w:eastAsia="仿宋" w:cs="仿宋"/>
          <w:sz w:val="28"/>
          <w:szCs w:val="28"/>
          <w:lang w:eastAsia="zh-CN"/>
        </w:rPr>
        <w:t>日内，在合同签订生效之日起</w:t>
      </w:r>
      <w:r>
        <w:rPr>
          <w:rFonts w:hint="eastAsia" w:ascii="仿宋" w:hAnsi="仿宋" w:eastAsia="仿宋" w:cs="仿宋"/>
          <w:sz w:val="28"/>
          <w:szCs w:val="22"/>
          <w:u w:val="single"/>
          <w:lang w:eastAsia="zh-CN"/>
        </w:rPr>
        <w:t>30</w:t>
      </w:r>
      <w:r>
        <w:rPr>
          <w:rFonts w:hint="eastAsia" w:ascii="仿宋" w:hAnsi="仿宋" w:eastAsia="仿宋" w:cs="仿宋"/>
          <w:sz w:val="28"/>
          <w:szCs w:val="28"/>
          <w:lang w:eastAsia="zh-CN"/>
        </w:rPr>
        <w:t>天内交货到</w:t>
      </w:r>
      <w:r>
        <w:rPr>
          <w:rFonts w:hint="eastAsia" w:ascii="仿宋" w:hAnsi="仿宋" w:eastAsia="仿宋" w:cs="仿宋"/>
          <w:color w:val="0000FF"/>
          <w:sz w:val="28"/>
          <w:szCs w:val="28"/>
          <w:lang w:eastAsia="zh-CN"/>
        </w:rPr>
        <w:t>甲方指定地点</w:t>
      </w:r>
      <w:r>
        <w:rPr>
          <w:rFonts w:hint="eastAsia" w:ascii="仿宋" w:hAnsi="仿宋" w:eastAsia="仿宋" w:cs="仿宋"/>
          <w:sz w:val="28"/>
          <w:szCs w:val="28"/>
          <w:lang w:eastAsia="zh-CN"/>
        </w:rPr>
        <w:t>，随即在</w:t>
      </w:r>
      <w:r>
        <w:rPr>
          <w:rFonts w:hint="eastAsia" w:ascii="仿宋" w:hAnsi="仿宋" w:eastAsia="仿宋" w:cs="仿宋"/>
          <w:sz w:val="28"/>
          <w:szCs w:val="22"/>
          <w:u w:val="single"/>
          <w:lang w:eastAsia="zh-CN"/>
        </w:rPr>
        <w:t>10</w:t>
      </w:r>
      <w:r>
        <w:rPr>
          <w:rFonts w:hint="eastAsia" w:ascii="仿宋" w:hAnsi="仿宋" w:eastAsia="仿宋" w:cs="仿宋"/>
          <w:sz w:val="28"/>
          <w:szCs w:val="28"/>
          <w:lang w:eastAsia="zh-CN"/>
        </w:rPr>
        <w:t>日内全部完成安装调试验收合格交付使用，并且最迟应在</w:t>
      </w:r>
      <w:r>
        <w:rPr>
          <w:rFonts w:hint="eastAsia" w:ascii="仿宋" w:hAnsi="仿宋" w:eastAsia="仿宋" w:cs="仿宋"/>
          <w:sz w:val="28"/>
          <w:szCs w:val="22"/>
          <w:u w:val="single"/>
          <w:lang w:eastAsia="zh-CN"/>
        </w:rPr>
        <w:t>2024</w:t>
      </w:r>
      <w:r>
        <w:rPr>
          <w:rFonts w:hint="eastAsia" w:ascii="仿宋" w:hAnsi="仿宋" w:eastAsia="仿宋" w:cs="仿宋"/>
          <w:sz w:val="28"/>
          <w:szCs w:val="28"/>
          <w:lang w:eastAsia="zh-CN"/>
        </w:rPr>
        <w:t>年</w:t>
      </w:r>
      <w:r>
        <w:rPr>
          <w:rFonts w:hint="eastAsia" w:ascii="仿宋" w:hAnsi="仿宋" w:eastAsia="仿宋" w:cs="仿宋"/>
          <w:sz w:val="28"/>
          <w:szCs w:val="22"/>
          <w:u w:val="single"/>
          <w:lang w:eastAsia="zh-CN"/>
        </w:rPr>
        <w:t>XX</w:t>
      </w:r>
      <w:r>
        <w:rPr>
          <w:rFonts w:hint="eastAsia" w:ascii="仿宋" w:hAnsi="仿宋" w:eastAsia="仿宋" w:cs="仿宋"/>
          <w:sz w:val="28"/>
          <w:szCs w:val="28"/>
          <w:lang w:eastAsia="zh-CN"/>
        </w:rPr>
        <w:t>月</w:t>
      </w:r>
      <w:r>
        <w:rPr>
          <w:rFonts w:hint="eastAsia" w:ascii="仿宋" w:hAnsi="仿宋" w:eastAsia="仿宋" w:cs="仿宋"/>
          <w:sz w:val="28"/>
          <w:szCs w:val="22"/>
          <w:u w:val="single"/>
          <w:lang w:eastAsia="zh-CN"/>
        </w:rPr>
        <w:t>XX</w:t>
      </w:r>
      <w:r>
        <w:rPr>
          <w:rFonts w:hint="eastAsia" w:ascii="仿宋" w:hAnsi="仿宋" w:eastAsia="仿宋" w:cs="仿宋"/>
          <w:sz w:val="28"/>
          <w:szCs w:val="28"/>
          <w:lang w:eastAsia="zh-CN"/>
        </w:rPr>
        <w:t>日前全部完成安装调试验收合格交付使用(如由于采购人的原因造成合同延迟签订或验收的，时间顺延.</w:t>
      </w:r>
      <w:r>
        <w:rPr>
          <w:rFonts w:hint="eastAsia" w:ascii="仿宋" w:hAnsi="仿宋" w:eastAsia="仿宋" w:cs="仿宋"/>
          <w:color w:val="FF0000"/>
          <w:sz w:val="28"/>
          <w:szCs w:val="28"/>
          <w:lang w:eastAsia="zh-CN"/>
        </w:rPr>
        <w:t>另外进入现场施工时间以江油大剧院演出安排为基础，双方协商确定</w:t>
      </w:r>
      <w:r>
        <w:rPr>
          <w:rFonts w:hint="eastAsia" w:ascii="仿宋" w:hAnsi="仿宋" w:eastAsia="仿宋" w:cs="仿宋"/>
          <w:sz w:val="28"/>
          <w:szCs w:val="28"/>
          <w:lang w:eastAsia="zh-CN"/>
        </w:rPr>
        <w:t>)。</w:t>
      </w:r>
    </w:p>
    <w:p>
      <w:pPr>
        <w:pStyle w:val="22"/>
        <w:ind w:firstLine="560"/>
        <w:rPr>
          <w:rFonts w:ascii="仿宋" w:hAnsi="仿宋" w:eastAsia="仿宋" w:cs="仿宋"/>
          <w:sz w:val="28"/>
          <w:szCs w:val="28"/>
          <w:lang w:eastAsia="zh-Hans"/>
        </w:rPr>
      </w:pPr>
      <w:r>
        <w:rPr>
          <w:rFonts w:hint="eastAsia" w:ascii="仿宋" w:hAnsi="仿宋" w:eastAsia="仿宋" w:cs="仿宋"/>
          <w:sz w:val="28"/>
          <w:szCs w:val="28"/>
          <w:lang w:eastAsia="zh-Hans"/>
        </w:rPr>
        <w:t>建议直接对甲方指定地点进行明确，下同。</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2、验收由甲方组织，乙方配合进行：</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 货物在乙方通知安装调试完毕后进入试用期，试用期时间为</w:t>
      </w:r>
      <w:r>
        <w:rPr>
          <w:rFonts w:hint="eastAsia" w:ascii="仿宋" w:hAnsi="仿宋" w:eastAsia="仿宋" w:cs="仿宋"/>
          <w:sz w:val="28"/>
          <w:szCs w:val="28"/>
          <w:u w:val="single"/>
          <w:lang w:eastAsia="zh-CN"/>
        </w:rPr>
        <w:t xml:space="preserve"> 10 </w:t>
      </w:r>
      <w:r>
        <w:rPr>
          <w:rFonts w:hint="eastAsia" w:ascii="仿宋" w:hAnsi="仿宋" w:eastAsia="仿宋" w:cs="仿宋"/>
          <w:sz w:val="28"/>
          <w:szCs w:val="28"/>
          <w:lang w:eastAsia="zh-CN"/>
        </w:rPr>
        <w:t>日；试用期间发生重大质量问题，修复后试用相应顺延；试用期结束后</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日内完成最终验收；</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 验收标准：按国家有关规定的质量要求和技术指标与本合同约定标准进行验收；甲乙双方如对质量要求和技术指标的约定标准有相互抵触或异议的事项，由甲方在招标与响应文件中按质量要求和技术指标比较优胜的原则确定该项的约定标准进行验收；</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 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(4) 如质量验收合格，双方签署质量验收报告。</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3、货物安装完成后</w:t>
      </w:r>
      <w:r>
        <w:rPr>
          <w:rFonts w:hint="eastAsia" w:ascii="仿宋" w:hAnsi="仿宋" w:eastAsia="仿宋" w:cs="仿宋"/>
          <w:sz w:val="28"/>
          <w:szCs w:val="28"/>
          <w:u w:val="single"/>
          <w:lang w:eastAsia="zh-CN"/>
        </w:rPr>
        <w:t xml:space="preserve"> 20 </w:t>
      </w:r>
      <w:r>
        <w:rPr>
          <w:rFonts w:hint="eastAsia" w:ascii="仿宋" w:hAnsi="仿宋" w:eastAsia="仿宋" w:cs="仿宋"/>
          <w:sz w:val="28"/>
          <w:szCs w:val="28"/>
          <w:lang w:eastAsia="zh-CN"/>
        </w:rPr>
        <w:t>日内，甲方无故不进行验收工作并已使用货物的，视同已安装调试完成并验收合格。</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4、乙方应将所提供货物的装箱清单、配件、随机工具、用户使用手册、原厂保修卡等资料交付给甲方；乙方不能完整交付货物及本款规定的单证和工具的，必须负责补齐，否则视为未按合同约定交货。</w:t>
      </w:r>
    </w:p>
    <w:p>
      <w:pPr>
        <w:pStyle w:val="5"/>
        <w:spacing w:line="400" w:lineRule="exact"/>
        <w:ind w:firstLine="562" w:firstLineChars="200"/>
        <w:rPr>
          <w:rFonts w:ascii="仿宋" w:hAnsi="仿宋" w:eastAsia="仿宋" w:cs="仿宋"/>
          <w:sz w:val="28"/>
          <w:szCs w:val="28"/>
          <w:lang w:eastAsia="zh-CN"/>
        </w:rPr>
      </w:pPr>
      <w:bookmarkStart w:id="33" w:name="_Toc4302"/>
      <w:bookmarkStart w:id="34" w:name="_Toc30037"/>
      <w:bookmarkStart w:id="35" w:name="_Toc11857"/>
      <w:bookmarkStart w:id="36" w:name="_Toc471310438"/>
      <w:bookmarkStart w:id="37" w:name="_Toc16383"/>
      <w:bookmarkStart w:id="38" w:name="_Toc26243"/>
      <w:bookmarkStart w:id="39" w:name="_Toc217446111"/>
      <w:bookmarkStart w:id="40" w:name="_Toc17004"/>
      <w:r>
        <w:rPr>
          <w:rFonts w:hint="eastAsia" w:ascii="仿宋" w:hAnsi="仿宋" w:eastAsia="仿宋" w:cs="仿宋"/>
          <w:sz w:val="28"/>
          <w:szCs w:val="28"/>
          <w:lang w:eastAsia="zh-CN"/>
        </w:rPr>
        <w:t>五、付款方式</w:t>
      </w:r>
      <w:bookmarkEnd w:id="33"/>
      <w:bookmarkEnd w:id="34"/>
      <w:bookmarkEnd w:id="35"/>
      <w:bookmarkEnd w:id="36"/>
      <w:bookmarkEnd w:id="37"/>
      <w:bookmarkEnd w:id="38"/>
      <w:bookmarkEnd w:id="39"/>
      <w:bookmarkEnd w:id="40"/>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1、预付款：本合同签订生效后</w:t>
      </w:r>
      <w:r>
        <w:rPr>
          <w:rFonts w:hint="eastAsia" w:ascii="仿宋" w:hAnsi="仿宋" w:eastAsia="仿宋" w:cs="仿宋"/>
          <w:sz w:val="28"/>
          <w:szCs w:val="28"/>
          <w:u w:val="single"/>
          <w:lang w:eastAsia="zh-CN"/>
        </w:rPr>
        <w:t xml:space="preserve"> 5 </w:t>
      </w:r>
      <w:r>
        <w:rPr>
          <w:rFonts w:hint="eastAsia" w:ascii="仿宋" w:hAnsi="仿宋" w:eastAsia="仿宋" w:cs="仿宋"/>
          <w:sz w:val="28"/>
          <w:szCs w:val="28"/>
          <w:lang w:eastAsia="zh-CN"/>
        </w:rPr>
        <w:t>个工作日内，甲方向乙方支付合同总价的</w:t>
      </w:r>
      <w:r>
        <w:rPr>
          <w:rFonts w:hint="eastAsia" w:ascii="仿宋" w:hAnsi="仿宋" w:eastAsia="仿宋" w:cs="仿宋"/>
          <w:sz w:val="28"/>
          <w:szCs w:val="28"/>
          <w:u w:val="single"/>
          <w:lang w:eastAsia="zh-CN"/>
        </w:rPr>
        <w:t>20%</w:t>
      </w:r>
      <w:r>
        <w:rPr>
          <w:rFonts w:hint="eastAsia" w:ascii="仿宋" w:hAnsi="仿宋" w:eastAsia="仿宋" w:cs="仿宋"/>
          <w:sz w:val="28"/>
          <w:szCs w:val="28"/>
          <w:lang w:eastAsia="zh-CN"/>
        </w:rPr>
        <w:t>的预付款；</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2、交货款：乙方具备发货条件时后应在</w:t>
      </w:r>
      <w:r>
        <w:rPr>
          <w:rFonts w:hint="eastAsia" w:ascii="仿宋" w:hAnsi="仿宋" w:eastAsia="仿宋" w:cs="仿宋"/>
          <w:sz w:val="28"/>
          <w:szCs w:val="28"/>
          <w:u w:val="single"/>
          <w:lang w:eastAsia="zh-CN"/>
        </w:rPr>
        <w:t xml:space="preserve"> 5 </w:t>
      </w:r>
      <w:r>
        <w:rPr>
          <w:rFonts w:hint="eastAsia" w:ascii="仿宋" w:hAnsi="仿宋" w:eastAsia="仿宋" w:cs="仿宋"/>
          <w:sz w:val="28"/>
          <w:szCs w:val="28"/>
          <w:lang w:eastAsia="zh-CN"/>
        </w:rPr>
        <w:t>个工作日内将货物送至</w:t>
      </w:r>
      <w:r>
        <w:rPr>
          <w:rFonts w:hint="eastAsia" w:ascii="仿宋" w:hAnsi="仿宋" w:eastAsia="仿宋" w:cs="仿宋"/>
          <w:color w:val="0000FF"/>
          <w:sz w:val="28"/>
          <w:szCs w:val="28"/>
          <w:lang w:eastAsia="zh-CN"/>
        </w:rPr>
        <w:t>甲方指定地方</w:t>
      </w:r>
      <w:r>
        <w:rPr>
          <w:rFonts w:hint="eastAsia" w:ascii="仿宋" w:hAnsi="仿宋" w:eastAsia="仿宋" w:cs="仿宋"/>
          <w:sz w:val="28"/>
          <w:szCs w:val="28"/>
          <w:lang w:eastAsia="zh-CN"/>
        </w:rPr>
        <w:t>，甲方向乙方支付合同总价的</w:t>
      </w:r>
      <w:r>
        <w:rPr>
          <w:rFonts w:hint="eastAsia" w:ascii="仿宋" w:hAnsi="仿宋" w:eastAsia="仿宋" w:cs="仿宋"/>
          <w:sz w:val="28"/>
          <w:szCs w:val="28"/>
          <w:u w:val="single"/>
          <w:lang w:eastAsia="zh-CN"/>
        </w:rPr>
        <w:t>30 %</w:t>
      </w:r>
      <w:r>
        <w:rPr>
          <w:rFonts w:hint="eastAsia" w:ascii="仿宋" w:hAnsi="仿宋" w:eastAsia="仿宋" w:cs="仿宋"/>
          <w:sz w:val="28"/>
          <w:szCs w:val="28"/>
          <w:lang w:eastAsia="zh-CN"/>
        </w:rPr>
        <w:t>的交货款；</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3、验收款：调试正常运行</w:t>
      </w:r>
      <w:r>
        <w:rPr>
          <w:rFonts w:hint="eastAsia" w:ascii="仿宋" w:hAnsi="仿宋" w:eastAsia="仿宋" w:cs="仿宋"/>
          <w:sz w:val="28"/>
          <w:szCs w:val="28"/>
          <w:u w:val="single"/>
          <w:lang w:eastAsia="zh-CN"/>
        </w:rPr>
        <w:t xml:space="preserve"> 10 </w:t>
      </w:r>
      <w:r>
        <w:rPr>
          <w:rFonts w:hint="eastAsia" w:ascii="仿宋" w:hAnsi="仿宋" w:eastAsia="仿宋" w:cs="仿宋"/>
          <w:sz w:val="28"/>
          <w:szCs w:val="28"/>
          <w:lang w:eastAsia="zh-CN"/>
        </w:rPr>
        <w:t>日，乙方应向甲方提交验收、结算等文件，甲乙双方办理正式竣工验收和结算手续。验收合格后</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个工作日内，乙方提供了全额增值税发票，甲方向乙方支付至合同总价的</w:t>
      </w:r>
      <w:r>
        <w:rPr>
          <w:rFonts w:hint="eastAsia" w:ascii="仿宋" w:hAnsi="仿宋" w:eastAsia="仿宋" w:cs="仿宋"/>
          <w:sz w:val="28"/>
          <w:szCs w:val="28"/>
          <w:u w:val="single"/>
          <w:lang w:eastAsia="zh-CN"/>
        </w:rPr>
        <w:t>9</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4、质保款：合同总价的</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的质量保证金待保修期到期后如甲方或使用单位对产品质量无异议，乙方全面履行了保修义务，在质保</w:t>
      </w:r>
      <w:bookmarkStart w:id="73" w:name="_GoBack"/>
      <w:bookmarkEnd w:id="73"/>
      <w:r>
        <w:rPr>
          <w:rFonts w:hint="eastAsia" w:ascii="仿宋" w:hAnsi="仿宋" w:eastAsia="仿宋" w:cs="仿宋"/>
          <w:sz w:val="28"/>
          <w:szCs w:val="28"/>
          <w:lang w:eastAsia="zh-CN"/>
        </w:rPr>
        <w:t>期满后</w:t>
      </w:r>
      <w:r>
        <w:rPr>
          <w:rFonts w:hint="eastAsia" w:ascii="仿宋" w:hAnsi="仿宋" w:eastAsia="仿宋" w:cs="仿宋"/>
          <w:sz w:val="28"/>
          <w:szCs w:val="28"/>
          <w:u w:val="single"/>
          <w:lang w:eastAsia="zh-CN"/>
        </w:rPr>
        <w:t xml:space="preserve"> 5</w:t>
      </w:r>
      <w:r>
        <w:rPr>
          <w:rFonts w:hint="eastAsia" w:ascii="仿宋" w:hAnsi="仿宋" w:eastAsia="仿宋" w:cs="仿宋"/>
          <w:sz w:val="28"/>
          <w:szCs w:val="28"/>
          <w:lang w:eastAsia="zh-CN"/>
        </w:rPr>
        <w:t>个工作日内无息结清质保金。</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5、乙方须向甲方出具合法有效完整的完税发票及凭证资料进行支付结算</w:t>
      </w:r>
      <w:r>
        <w:rPr>
          <w:rFonts w:hint="eastAsia" w:ascii="仿宋" w:hAnsi="仿宋" w:eastAsia="仿宋" w:cs="仿宋"/>
          <w:sz w:val="28"/>
          <w:szCs w:val="28"/>
          <w:lang w:eastAsia="zh-Hans"/>
        </w:rPr>
        <w:t>，乙方开票延迟导致甲方付款延迟的，甲方不承担逾期付款的违约责任</w:t>
      </w:r>
      <w:r>
        <w:rPr>
          <w:rFonts w:hint="eastAsia" w:ascii="仿宋" w:hAnsi="仿宋" w:eastAsia="仿宋" w:cs="仿宋"/>
          <w:sz w:val="28"/>
          <w:szCs w:val="28"/>
          <w:lang w:eastAsia="zh-CN"/>
        </w:rPr>
        <w:t>。</w:t>
      </w:r>
    </w:p>
    <w:p>
      <w:pPr>
        <w:pStyle w:val="5"/>
        <w:spacing w:line="400" w:lineRule="exact"/>
        <w:ind w:firstLine="562" w:firstLineChars="200"/>
        <w:rPr>
          <w:rFonts w:ascii="仿宋" w:hAnsi="仿宋" w:eastAsia="仿宋" w:cs="仿宋"/>
          <w:sz w:val="28"/>
          <w:szCs w:val="28"/>
          <w:lang w:eastAsia="zh-CN"/>
        </w:rPr>
      </w:pPr>
      <w:bookmarkStart w:id="41" w:name="_Toc2127"/>
      <w:bookmarkStart w:id="42" w:name="_Toc3124"/>
      <w:bookmarkStart w:id="43" w:name="_Toc30842"/>
      <w:bookmarkStart w:id="44" w:name="_Toc32327"/>
      <w:bookmarkStart w:id="45" w:name="_Toc471310439"/>
      <w:bookmarkStart w:id="46" w:name="_Toc217446112"/>
      <w:bookmarkStart w:id="47" w:name="_Toc9365"/>
      <w:bookmarkStart w:id="48" w:name="_Toc1642"/>
      <w:r>
        <w:rPr>
          <w:rFonts w:hint="eastAsia" w:ascii="仿宋" w:hAnsi="仿宋" w:eastAsia="仿宋" w:cs="仿宋"/>
          <w:sz w:val="28"/>
          <w:szCs w:val="28"/>
          <w:lang w:eastAsia="zh-CN"/>
        </w:rPr>
        <w:t>六、售后服务</w:t>
      </w:r>
      <w:bookmarkEnd w:id="41"/>
      <w:bookmarkEnd w:id="42"/>
      <w:bookmarkEnd w:id="43"/>
      <w:bookmarkEnd w:id="44"/>
      <w:bookmarkEnd w:id="45"/>
      <w:bookmarkEnd w:id="46"/>
      <w:bookmarkEnd w:id="47"/>
      <w:bookmarkEnd w:id="48"/>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1、质保期为验收合格后</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2"/>
          <w:u w:val="single"/>
          <w:lang w:eastAsia="zh-CN"/>
        </w:rPr>
        <w:t xml:space="preserve">2 </w:t>
      </w:r>
      <w:r>
        <w:rPr>
          <w:rFonts w:hint="eastAsia" w:ascii="仿宋" w:hAnsi="仿宋" w:eastAsia="仿宋" w:cs="仿宋"/>
          <w:sz w:val="28"/>
          <w:szCs w:val="28"/>
          <w:lang w:eastAsia="zh-CN"/>
        </w:rPr>
        <w:t>年，质保期内出现质量问题，乙方在接到通知后</w:t>
      </w:r>
      <w:r>
        <w:rPr>
          <w:rFonts w:hint="eastAsia" w:ascii="仿宋" w:hAnsi="仿宋" w:eastAsia="仿宋" w:cs="仿宋"/>
          <w:sz w:val="28"/>
          <w:szCs w:val="28"/>
          <w:u w:val="single"/>
          <w:lang w:eastAsia="zh-CN"/>
        </w:rPr>
        <w:t xml:space="preserve"> 48 </w:t>
      </w:r>
      <w:r>
        <w:rPr>
          <w:rFonts w:hint="eastAsia" w:ascii="仿宋" w:hAnsi="仿宋" w:eastAsia="仿宋" w:cs="仿宋"/>
          <w:sz w:val="28"/>
          <w:szCs w:val="28"/>
          <w:lang w:eastAsia="zh-CN"/>
        </w:rPr>
        <w:t>小时内响应到场，</w:t>
      </w:r>
      <w:r>
        <w:rPr>
          <w:rFonts w:hint="eastAsia" w:ascii="仿宋" w:hAnsi="仿宋" w:eastAsia="仿宋" w:cs="仿宋"/>
          <w:sz w:val="28"/>
          <w:szCs w:val="28"/>
          <w:u w:val="single"/>
          <w:lang w:eastAsia="zh-CN"/>
        </w:rPr>
        <w:t xml:space="preserve">  72 </w:t>
      </w:r>
      <w:r>
        <w:rPr>
          <w:rFonts w:hint="eastAsia" w:ascii="仿宋" w:hAnsi="仿宋" w:eastAsia="仿宋" w:cs="仿宋"/>
          <w:sz w:val="28"/>
          <w:szCs w:val="28"/>
          <w:lang w:eastAsia="zh-CN"/>
        </w:rPr>
        <w:t>小时内完成维修或更换，并承担修理调换的费用；</w:t>
      </w:r>
      <w:r>
        <w:rPr>
          <w:rFonts w:hint="eastAsia" w:ascii="仿宋" w:hAnsi="仿宋" w:eastAsia="仿宋" w:cs="仿宋"/>
          <w:sz w:val="28"/>
          <w:szCs w:val="28"/>
          <w:lang w:eastAsia="zh-Hans"/>
        </w:rPr>
        <w:t>逾期未响应或未完成维修或者更换，甲方有权聘请他人进行维修，由此造成的费用由乙方自行承担。</w:t>
      </w:r>
      <w:r>
        <w:rPr>
          <w:rFonts w:hint="eastAsia" w:ascii="仿宋" w:hAnsi="仿宋" w:eastAsia="仿宋" w:cs="仿宋"/>
          <w:sz w:val="28"/>
          <w:szCs w:val="28"/>
          <w:lang w:eastAsia="zh-CN"/>
        </w:rPr>
        <w:t>如货物经乙方多次维修仍不能达到本合同约定的质量标准，视作乙方未能按时交货，甲方有权退货并追究乙方的违约责任。货到现场后由于甲方保管不当造成的问题，乙方亦应负责修复，但费用由甲方负担。</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2、乙方须指派专人负责与甲方联系售后服务事宜。 </w:t>
      </w:r>
    </w:p>
    <w:p>
      <w:pPr>
        <w:pStyle w:val="5"/>
        <w:spacing w:line="400" w:lineRule="exact"/>
        <w:ind w:firstLine="562" w:firstLineChars="200"/>
        <w:rPr>
          <w:rFonts w:ascii="仿宋" w:hAnsi="仿宋" w:eastAsia="仿宋" w:cs="仿宋"/>
          <w:sz w:val="28"/>
          <w:szCs w:val="28"/>
          <w:lang w:eastAsia="zh-CN"/>
        </w:rPr>
      </w:pPr>
      <w:bookmarkStart w:id="49" w:name="_Toc29250"/>
      <w:bookmarkStart w:id="50" w:name="_Toc27619"/>
      <w:bookmarkStart w:id="51" w:name="_Toc471310440"/>
      <w:bookmarkStart w:id="52" w:name="_Toc12123"/>
      <w:bookmarkStart w:id="53" w:name="_Toc217446113"/>
      <w:bookmarkStart w:id="54" w:name="_Toc32216"/>
      <w:bookmarkStart w:id="55" w:name="_Toc12317"/>
      <w:bookmarkStart w:id="56" w:name="_Toc12753"/>
      <w:r>
        <w:rPr>
          <w:rFonts w:hint="eastAsia" w:ascii="仿宋" w:hAnsi="仿宋" w:eastAsia="仿宋" w:cs="仿宋"/>
          <w:sz w:val="28"/>
          <w:szCs w:val="28"/>
          <w:lang w:eastAsia="zh-CN"/>
        </w:rPr>
        <w:t>七、违约责任</w:t>
      </w:r>
      <w:bookmarkEnd w:id="49"/>
      <w:bookmarkEnd w:id="50"/>
      <w:bookmarkEnd w:id="51"/>
      <w:bookmarkEnd w:id="52"/>
      <w:bookmarkEnd w:id="53"/>
      <w:bookmarkEnd w:id="54"/>
      <w:bookmarkEnd w:id="55"/>
      <w:bookmarkEnd w:id="56"/>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1、甲方违约责任</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（1）甲方无正当理由拒收货物的，甲方应偿付合同总价百分之</w:t>
      </w:r>
      <w:r>
        <w:rPr>
          <w:rFonts w:ascii="仿宋" w:hAnsi="仿宋" w:eastAsia="仿宋" w:cs="仿宋"/>
          <w:sz w:val="28"/>
          <w:szCs w:val="28"/>
          <w:u w:val="single"/>
          <w:lang w:eastAsia="zh-CN"/>
        </w:rPr>
        <w:t>20</w:t>
      </w:r>
      <w:r>
        <w:rPr>
          <w:rFonts w:hint="eastAsia" w:ascii="仿宋" w:hAnsi="仿宋" w:eastAsia="仿宋" w:cs="仿宋"/>
          <w:sz w:val="28"/>
          <w:szCs w:val="28"/>
          <w:lang w:eastAsia="zh-CN"/>
        </w:rPr>
        <w:t>的违约金；</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（2 )甲方逾期支付货款的，除应及时付足货款外，应向乙方偿付欠款总额万分之</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/天的违约金；逾期付款超过</w:t>
      </w:r>
      <w:r>
        <w:rPr>
          <w:rFonts w:hint="eastAsia" w:ascii="仿宋" w:hAnsi="仿宋" w:eastAsia="仿宋" w:cs="仿宋"/>
          <w:sz w:val="28"/>
          <w:szCs w:val="28"/>
          <w:u w:val="single"/>
          <w:lang w:eastAsia="zh-CN"/>
        </w:rPr>
        <w:t xml:space="preserve"> 40 </w:t>
      </w:r>
      <w:r>
        <w:rPr>
          <w:rFonts w:hint="eastAsia" w:ascii="仿宋" w:hAnsi="仿宋" w:eastAsia="仿宋" w:cs="仿宋"/>
          <w:sz w:val="28"/>
          <w:szCs w:val="28"/>
          <w:lang w:eastAsia="zh-CN"/>
        </w:rPr>
        <w:t>天的，乙方有权终止合同；</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（3）甲方偿付的违约金不足以弥补乙方损失的，还应按乙方损失尚未弥补的部分，支付赔偿金给乙方。</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2、乙方违约责任</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（1）乙方交付的货物质量不符合合同规定的，须在合同规定的交货时间内更换合格的货物给甲方，否则，视作乙方不能交付货物而违约，按本条本款下述第“（2）”项规定由乙方偿付违约赔偿金给甲方。</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（2）乙方不能交付货物或逾期交付货物而违约的，除应及时交足货物外，应向甲方偿付逾期交货部分货款总额的万分之</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/天的违约金；逾期交货超过</w:t>
      </w:r>
      <w:r>
        <w:rPr>
          <w:rFonts w:hint="eastAsia" w:ascii="仿宋" w:hAnsi="仿宋" w:eastAsia="仿宋" w:cs="仿宋"/>
          <w:sz w:val="28"/>
          <w:szCs w:val="22"/>
          <w:u w:val="single"/>
          <w:lang w:eastAsia="zh-CN"/>
        </w:rPr>
        <w:t>60</w:t>
      </w:r>
      <w:r>
        <w:rPr>
          <w:rFonts w:hint="eastAsia" w:ascii="仿宋" w:hAnsi="仿宋" w:eastAsia="仿宋" w:cs="仿宋"/>
          <w:sz w:val="28"/>
          <w:szCs w:val="28"/>
          <w:lang w:eastAsia="zh-CN"/>
        </w:rPr>
        <w:t>天，甲方有权终止合同，乙方则应按合同总价的百分之</w:t>
      </w:r>
      <w:r>
        <w:rPr>
          <w:rFonts w:hint="eastAsia" w:ascii="仿宋" w:hAnsi="仿宋" w:eastAsia="仿宋" w:cs="仿宋"/>
          <w:sz w:val="28"/>
          <w:szCs w:val="28"/>
          <w:u w:val="single"/>
          <w:lang w:eastAsia="zh-CN"/>
        </w:rPr>
        <w:t xml:space="preserve"> </w:t>
      </w:r>
      <w:r>
        <w:rPr>
          <w:rFonts w:ascii="仿宋" w:hAnsi="仿宋" w:eastAsia="仿宋" w:cs="仿宋"/>
          <w:sz w:val="28"/>
          <w:szCs w:val="28"/>
          <w:u w:val="single"/>
          <w:lang w:eastAsia="zh-CN"/>
        </w:rPr>
        <w:t>20</w:t>
      </w:r>
      <w:r>
        <w:rPr>
          <w:rFonts w:hint="eastAsia" w:ascii="仿宋" w:hAnsi="仿宋" w:eastAsia="仿宋" w:cs="仿宋"/>
          <w:sz w:val="28"/>
          <w:szCs w:val="28"/>
          <w:lang w:eastAsia="zh-CN"/>
        </w:rPr>
        <w:t>的款额向甲方偿付赔偿金，并须全额退还甲方已经付给乙方的货款及其利息。</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3）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w:t>
      </w:r>
      <w:r>
        <w:rPr>
          <w:rFonts w:hint="eastAsia" w:ascii="仿宋" w:hAnsi="仿宋" w:eastAsia="仿宋" w:cs="仿宋"/>
          <w:sz w:val="28"/>
          <w:szCs w:val="28"/>
          <w:u w:val="single"/>
          <w:lang w:eastAsia="zh-CN"/>
        </w:rPr>
        <w:t xml:space="preserve">  </w:t>
      </w:r>
      <w:r>
        <w:rPr>
          <w:rFonts w:ascii="仿宋" w:hAnsi="仿宋" w:eastAsia="仿宋" w:cs="仿宋"/>
          <w:sz w:val="28"/>
          <w:szCs w:val="28"/>
          <w:u w:val="single"/>
          <w:lang w:eastAsia="zh-CN"/>
        </w:rPr>
        <w:t>20</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向甲方支付违约金并赔偿因此给甲方造成的一切损失。</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（5）乙方偿付的违约金不足以弥补甲方损失的，还应按甲方损失尚未弥补的部分，支付赔偿金给甲方。</w:t>
      </w:r>
    </w:p>
    <w:p>
      <w:pPr>
        <w:pStyle w:val="5"/>
        <w:spacing w:line="400" w:lineRule="exact"/>
        <w:ind w:firstLine="562" w:firstLineChars="200"/>
        <w:rPr>
          <w:rFonts w:ascii="仿宋" w:hAnsi="仿宋" w:eastAsia="仿宋" w:cs="仿宋"/>
          <w:sz w:val="28"/>
          <w:szCs w:val="28"/>
          <w:lang w:eastAsia="zh-CN"/>
        </w:rPr>
      </w:pPr>
      <w:bookmarkStart w:id="57" w:name="_Toc18850"/>
      <w:bookmarkStart w:id="58" w:name="_Toc217446114"/>
      <w:bookmarkStart w:id="59" w:name="_Toc471310441"/>
      <w:bookmarkStart w:id="60" w:name="_Toc1478"/>
      <w:bookmarkStart w:id="61" w:name="_Toc13532"/>
      <w:bookmarkStart w:id="62" w:name="_Toc1065"/>
      <w:bookmarkStart w:id="63" w:name="_Toc14077"/>
      <w:bookmarkStart w:id="64" w:name="_Toc31872"/>
      <w:r>
        <w:rPr>
          <w:rFonts w:hint="eastAsia" w:ascii="仿宋" w:hAnsi="仿宋" w:eastAsia="仿宋" w:cs="仿宋"/>
          <w:sz w:val="28"/>
          <w:szCs w:val="28"/>
          <w:lang w:eastAsia="zh-CN"/>
        </w:rPr>
        <w:t>八、争议解决办法</w:t>
      </w:r>
      <w:bookmarkEnd w:id="57"/>
      <w:bookmarkEnd w:id="58"/>
      <w:bookmarkEnd w:id="59"/>
      <w:bookmarkEnd w:id="60"/>
      <w:bookmarkEnd w:id="61"/>
      <w:bookmarkEnd w:id="62"/>
      <w:bookmarkEnd w:id="63"/>
      <w:bookmarkEnd w:id="64"/>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1、因货物的质量问题发生争议，由质量技术监督部门或其指定的质量鉴定机构进行质量鉴定。货物符合标准的，鉴定费由甲方承担；货物不符合质量标准的，鉴定费由乙方承担。</w:t>
      </w:r>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2、合同履行期间,若双方发生争议，可协商或由有关部门调解解决，协商或调解不成的，</w:t>
      </w:r>
      <w:r>
        <w:rPr>
          <w:rFonts w:hint="eastAsia" w:ascii="仿宋" w:hAnsi="仿宋" w:eastAsia="仿宋" w:cs="仿宋"/>
          <w:sz w:val="28"/>
          <w:szCs w:val="28"/>
          <w:lang w:eastAsia="zh-Hans"/>
        </w:rPr>
        <w:t>可向甲方所在地人民法院起诉</w:t>
      </w:r>
      <w:r>
        <w:rPr>
          <w:rFonts w:hint="eastAsia" w:ascii="仿宋" w:hAnsi="仿宋" w:eastAsia="仿宋" w:cs="仿宋"/>
          <w:sz w:val="28"/>
          <w:szCs w:val="28"/>
          <w:lang w:eastAsia="zh-CN"/>
        </w:rPr>
        <w:t>。</w:t>
      </w:r>
    </w:p>
    <w:p>
      <w:pPr>
        <w:pStyle w:val="5"/>
        <w:spacing w:line="400" w:lineRule="exact"/>
        <w:ind w:firstLine="562" w:firstLineChars="200"/>
        <w:rPr>
          <w:rFonts w:ascii="仿宋" w:hAnsi="仿宋" w:eastAsia="仿宋" w:cs="仿宋"/>
          <w:sz w:val="28"/>
          <w:szCs w:val="28"/>
          <w:lang w:eastAsia="zh-CN"/>
        </w:rPr>
      </w:pPr>
      <w:bookmarkStart w:id="65" w:name="_Toc2210"/>
      <w:bookmarkStart w:id="66" w:name="_Toc15184"/>
      <w:bookmarkStart w:id="67" w:name="_Toc471310442"/>
      <w:bookmarkStart w:id="68" w:name="_Toc27007"/>
      <w:bookmarkStart w:id="69" w:name="_Toc16081"/>
      <w:bookmarkStart w:id="70" w:name="_Toc20087"/>
      <w:bookmarkStart w:id="71" w:name="_Toc217446115"/>
      <w:bookmarkStart w:id="72" w:name="_Toc20569"/>
      <w:r>
        <w:rPr>
          <w:rFonts w:hint="eastAsia" w:ascii="仿宋" w:hAnsi="仿宋" w:eastAsia="仿宋" w:cs="仿宋"/>
          <w:sz w:val="28"/>
          <w:szCs w:val="28"/>
          <w:lang w:eastAsia="zh-CN"/>
        </w:rPr>
        <w:t>九、其他</w:t>
      </w:r>
      <w:bookmarkEnd w:id="65"/>
      <w:bookmarkEnd w:id="66"/>
      <w:bookmarkEnd w:id="67"/>
      <w:bookmarkEnd w:id="68"/>
      <w:bookmarkEnd w:id="69"/>
      <w:bookmarkEnd w:id="70"/>
      <w:bookmarkEnd w:id="71"/>
      <w:bookmarkEnd w:id="72"/>
    </w:p>
    <w:p>
      <w:pPr>
        <w:pStyle w:val="22"/>
        <w:ind w:firstLine="560"/>
        <w:rPr>
          <w:rFonts w:ascii="仿宋" w:hAnsi="仿宋" w:eastAsia="仿宋" w:cs="仿宋"/>
          <w:sz w:val="28"/>
          <w:szCs w:val="28"/>
          <w:lang w:eastAsia="zh-CN"/>
        </w:rPr>
      </w:pPr>
      <w:r>
        <w:rPr>
          <w:rFonts w:hint="eastAsia" w:ascii="仿宋" w:hAnsi="仿宋" w:eastAsia="仿宋" w:cs="仿宋"/>
          <w:sz w:val="28"/>
          <w:szCs w:val="28"/>
          <w:lang w:eastAsia="zh-CN"/>
        </w:rPr>
        <w:t>1、如有未尽事宜，由双方依法订立补充合同。</w:t>
      </w:r>
    </w:p>
    <w:p>
      <w:pPr>
        <w:pStyle w:val="22"/>
        <w:ind w:firstLine="560"/>
        <w:rPr>
          <w:rFonts w:ascii="仿宋" w:hAnsi="仿宋" w:eastAsia="仿宋" w:cs="仿宋"/>
          <w:sz w:val="28"/>
          <w:szCs w:val="28"/>
        </w:rPr>
      </w:pPr>
      <w:r>
        <w:rPr>
          <w:rFonts w:hint="eastAsia" w:ascii="仿宋" w:hAnsi="仿宋" w:eastAsia="仿宋" w:cs="仿宋"/>
          <w:sz w:val="28"/>
          <w:szCs w:val="28"/>
          <w:lang w:eastAsia="zh-CN"/>
        </w:rPr>
        <w:t>2、本合同一式贰份，自双方签章之日起生效。</w:t>
      </w:r>
      <w:r>
        <w:rPr>
          <w:rFonts w:hint="eastAsia" w:ascii="仿宋" w:hAnsi="仿宋" w:eastAsia="仿宋" w:cs="仿宋"/>
          <w:sz w:val="28"/>
          <w:szCs w:val="28"/>
        </w:rPr>
        <w:t>甲方</w:t>
      </w:r>
      <w:r>
        <w:rPr>
          <w:rFonts w:hint="eastAsia" w:ascii="仿宋" w:hAnsi="仿宋" w:eastAsia="仿宋" w:cs="仿宋"/>
          <w:sz w:val="28"/>
          <w:szCs w:val="28"/>
          <w:lang w:eastAsia="zh-CN"/>
        </w:rPr>
        <w:t>一</w:t>
      </w:r>
      <w:r>
        <w:rPr>
          <w:rFonts w:hint="eastAsia" w:ascii="仿宋" w:hAnsi="仿宋" w:eastAsia="仿宋" w:cs="仿宋"/>
          <w:sz w:val="28"/>
          <w:szCs w:val="28"/>
        </w:rPr>
        <w:t>份，乙方一份。</w:t>
      </w:r>
    </w:p>
    <w:p>
      <w:pPr>
        <w:spacing w:line="400" w:lineRule="exact"/>
        <w:rPr>
          <w:rFonts w:ascii="仿宋" w:hAnsi="仿宋" w:eastAsia="仿宋" w:cs="仿宋"/>
          <w:sz w:val="28"/>
          <w:szCs w:val="28"/>
        </w:rPr>
      </w:pPr>
    </w:p>
    <w:p>
      <w:pPr>
        <w:pStyle w:val="2"/>
      </w:pPr>
    </w:p>
    <w:tbl>
      <w:tblPr>
        <w:tblStyle w:val="12"/>
        <w:tblW w:w="95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05"/>
        <w:gridCol w:w="4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4"/>
              </w:rPr>
              <w:t>甲方：（盖章）</w:t>
            </w:r>
          </w:p>
        </w:tc>
        <w:tc>
          <w:tcPr>
            <w:tcW w:w="4909" w:type="dxa"/>
            <w:tcBorders>
              <w:tl2br w:val="nil"/>
              <w:tr2bl w:val="nil"/>
            </w:tcBorders>
          </w:tcPr>
          <w:p>
            <w:pPr>
              <w:pStyle w:val="2"/>
              <w:jc w:val="both"/>
              <w:rPr>
                <w:sz w:val="40"/>
                <w:szCs w:val="20"/>
              </w:rPr>
            </w:pPr>
            <w:r>
              <w:rPr>
                <w:rFonts w:hint="eastAsia" w:ascii="仿宋" w:hAnsi="仿宋" w:eastAsia="仿宋" w:cs="仿宋"/>
                <w:sz w:val="24"/>
              </w:rPr>
              <w:t>乙方：（盖章）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lang w:eastAsia="zh-CN"/>
              </w:rPr>
            </w:pPr>
            <w:r>
              <w:rPr>
                <w:rFonts w:hint="eastAsia" w:ascii="仿宋" w:hAnsi="仿宋" w:eastAsia="仿宋" w:cs="仿宋"/>
                <w:sz w:val="24"/>
                <w:lang w:eastAsia="zh-CN"/>
              </w:rPr>
              <w:t xml:space="preserve">法定代表人（授权代表）： </w:t>
            </w:r>
          </w:p>
        </w:tc>
        <w:tc>
          <w:tcPr>
            <w:tcW w:w="4909" w:type="dxa"/>
            <w:tcBorders>
              <w:tl2br w:val="nil"/>
              <w:tr2bl w:val="nil"/>
            </w:tcBorders>
          </w:tcPr>
          <w:p>
            <w:pPr>
              <w:pStyle w:val="2"/>
              <w:jc w:val="both"/>
              <w:rPr>
                <w:sz w:val="40"/>
                <w:szCs w:val="20"/>
                <w:lang w:eastAsia="zh-CN"/>
              </w:rPr>
            </w:pPr>
            <w:r>
              <w:rPr>
                <w:rFonts w:hint="eastAsia" w:ascii="仿宋" w:hAnsi="仿宋" w:eastAsia="仿宋" w:cs="仿宋"/>
                <w:sz w:val="24"/>
                <w:lang w:eastAsia="zh-CN"/>
              </w:rPr>
              <w:t xml:space="preserve">法定代表人（授权代表）：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4"/>
              </w:rPr>
              <w:t xml:space="preserve">地址： </w:t>
            </w:r>
          </w:p>
        </w:tc>
        <w:tc>
          <w:tcPr>
            <w:tcW w:w="4909" w:type="dxa"/>
            <w:tcBorders>
              <w:tl2br w:val="nil"/>
              <w:tr2bl w:val="nil"/>
            </w:tcBorders>
          </w:tcPr>
          <w:p>
            <w:pPr>
              <w:pStyle w:val="2"/>
              <w:jc w:val="both"/>
              <w:rPr>
                <w:sz w:val="40"/>
                <w:szCs w:val="20"/>
              </w:rPr>
            </w:pPr>
            <w:r>
              <w:rPr>
                <w:rFonts w:hint="eastAsia" w:ascii="仿宋" w:hAnsi="仿宋" w:eastAsia="仿宋" w:cs="仿宋"/>
                <w:sz w:val="24"/>
              </w:rPr>
              <w:t xml:space="preserve">地址：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2"/>
                <w:szCs w:val="22"/>
              </w:rPr>
              <w:t>开户银行：</w:t>
            </w:r>
          </w:p>
        </w:tc>
        <w:tc>
          <w:tcPr>
            <w:tcW w:w="4909" w:type="dxa"/>
            <w:tcBorders>
              <w:tl2br w:val="nil"/>
              <w:tr2bl w:val="nil"/>
            </w:tcBorders>
          </w:tcPr>
          <w:p>
            <w:pPr>
              <w:pStyle w:val="2"/>
              <w:jc w:val="both"/>
              <w:rPr>
                <w:sz w:val="40"/>
                <w:szCs w:val="20"/>
              </w:rPr>
            </w:pPr>
            <w:r>
              <w:rPr>
                <w:rFonts w:hint="eastAsia" w:ascii="仿宋" w:hAnsi="仿宋" w:eastAsia="仿宋" w:cs="仿宋"/>
                <w:sz w:val="22"/>
                <w:szCs w:val="22"/>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4"/>
              </w:rPr>
              <w:t xml:space="preserve">账号：                           </w:t>
            </w:r>
          </w:p>
        </w:tc>
        <w:tc>
          <w:tcPr>
            <w:tcW w:w="4909" w:type="dxa"/>
            <w:tcBorders>
              <w:tl2br w:val="nil"/>
              <w:tr2bl w:val="nil"/>
            </w:tcBorders>
          </w:tcPr>
          <w:p>
            <w:pPr>
              <w:pStyle w:val="2"/>
              <w:jc w:val="both"/>
              <w:rPr>
                <w:sz w:val="40"/>
                <w:szCs w:val="20"/>
              </w:rPr>
            </w:pPr>
            <w:r>
              <w:rPr>
                <w:rFonts w:hint="eastAsia" w:ascii="仿宋" w:hAnsi="仿宋" w:eastAsia="仿宋" w:cs="仿宋"/>
                <w:sz w:val="24"/>
              </w:rPr>
              <w:t xml:space="preserve">账号：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4"/>
              </w:rPr>
              <w:t xml:space="preserve">电话： </w:t>
            </w:r>
          </w:p>
        </w:tc>
        <w:tc>
          <w:tcPr>
            <w:tcW w:w="4909" w:type="dxa"/>
            <w:tcBorders>
              <w:tl2br w:val="nil"/>
              <w:tr2bl w:val="nil"/>
            </w:tcBorders>
          </w:tcPr>
          <w:p>
            <w:pPr>
              <w:pStyle w:val="2"/>
              <w:jc w:val="both"/>
              <w:rPr>
                <w:sz w:val="40"/>
                <w:szCs w:val="20"/>
              </w:rPr>
            </w:pPr>
            <w:r>
              <w:rPr>
                <w:rFonts w:hint="eastAsia" w:ascii="仿宋" w:hAnsi="仿宋" w:eastAsia="仿宋" w:cs="仿宋"/>
                <w:sz w:val="24"/>
              </w:rPr>
              <w:t xml:space="preserve">电话：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tcPr>
          <w:p>
            <w:pPr>
              <w:pStyle w:val="2"/>
              <w:jc w:val="both"/>
              <w:rPr>
                <w:sz w:val="40"/>
                <w:szCs w:val="20"/>
              </w:rPr>
            </w:pPr>
            <w:r>
              <w:rPr>
                <w:rFonts w:hint="eastAsia" w:ascii="仿宋" w:hAnsi="仿宋" w:eastAsia="仿宋" w:cs="仿宋"/>
                <w:sz w:val="24"/>
                <w:szCs w:val="32"/>
              </w:rPr>
              <w:t>签约日期：</w:t>
            </w:r>
            <w:r>
              <w:rPr>
                <w:rFonts w:hint="eastAsia" w:ascii="仿宋" w:hAnsi="仿宋" w:eastAsia="仿宋" w:cs="仿宋"/>
                <w:sz w:val="24"/>
                <w:szCs w:val="32"/>
                <w:lang w:eastAsia="zh-CN"/>
              </w:rPr>
              <w:t xml:space="preserve">   </w:t>
            </w:r>
            <w:r>
              <w:rPr>
                <w:rFonts w:hint="eastAsia" w:ascii="仿宋" w:hAnsi="仿宋" w:eastAsia="仿宋" w:cs="仿宋"/>
                <w:sz w:val="24"/>
                <w:szCs w:val="32"/>
              </w:rPr>
              <w:t>年</w:t>
            </w:r>
            <w:r>
              <w:rPr>
                <w:rFonts w:hint="eastAsia" w:ascii="仿宋" w:hAnsi="仿宋" w:eastAsia="仿宋" w:cs="仿宋"/>
                <w:sz w:val="24"/>
                <w:szCs w:val="32"/>
                <w:lang w:eastAsia="zh-CN"/>
              </w:rPr>
              <w:t xml:space="preserve">  </w:t>
            </w:r>
            <w:r>
              <w:rPr>
                <w:rFonts w:hint="eastAsia" w:ascii="仿宋" w:hAnsi="仿宋" w:eastAsia="仿宋" w:cs="仿宋"/>
                <w:sz w:val="24"/>
                <w:szCs w:val="32"/>
              </w:rPr>
              <w:t>月</w:t>
            </w:r>
            <w:r>
              <w:rPr>
                <w:rFonts w:hint="eastAsia" w:ascii="仿宋" w:hAnsi="仿宋" w:eastAsia="仿宋" w:cs="仿宋"/>
                <w:sz w:val="24"/>
                <w:szCs w:val="32"/>
                <w:lang w:eastAsia="zh-CN"/>
              </w:rPr>
              <w:t xml:space="preserve">  </w:t>
            </w:r>
            <w:r>
              <w:rPr>
                <w:rFonts w:hint="eastAsia" w:ascii="仿宋" w:hAnsi="仿宋" w:eastAsia="仿宋" w:cs="仿宋"/>
                <w:sz w:val="24"/>
                <w:szCs w:val="32"/>
              </w:rPr>
              <w:t>日</w:t>
            </w:r>
          </w:p>
        </w:tc>
        <w:tc>
          <w:tcPr>
            <w:tcW w:w="4909" w:type="dxa"/>
            <w:tcBorders>
              <w:tl2br w:val="nil"/>
              <w:tr2bl w:val="nil"/>
            </w:tcBorders>
          </w:tcPr>
          <w:p>
            <w:pPr>
              <w:pStyle w:val="2"/>
              <w:jc w:val="both"/>
              <w:rPr>
                <w:sz w:val="40"/>
                <w:szCs w:val="20"/>
              </w:rPr>
            </w:pPr>
            <w:r>
              <w:rPr>
                <w:rFonts w:hint="eastAsia" w:ascii="仿宋" w:hAnsi="仿宋" w:eastAsia="仿宋" w:cs="仿宋"/>
                <w:sz w:val="24"/>
                <w:szCs w:val="32"/>
              </w:rPr>
              <w:t>签约日期：</w:t>
            </w:r>
            <w:r>
              <w:rPr>
                <w:rFonts w:hint="eastAsia" w:ascii="仿宋" w:hAnsi="仿宋" w:eastAsia="仿宋" w:cs="仿宋"/>
                <w:sz w:val="24"/>
                <w:szCs w:val="32"/>
                <w:lang w:eastAsia="zh-CN"/>
              </w:rPr>
              <w:t xml:space="preserve">  </w:t>
            </w:r>
            <w:r>
              <w:rPr>
                <w:rFonts w:hint="eastAsia" w:ascii="仿宋" w:hAnsi="仿宋" w:eastAsia="仿宋" w:cs="仿宋"/>
                <w:sz w:val="24"/>
                <w:szCs w:val="32"/>
              </w:rPr>
              <w:t>年</w:t>
            </w:r>
            <w:r>
              <w:rPr>
                <w:rFonts w:hint="eastAsia" w:ascii="仿宋" w:hAnsi="仿宋" w:eastAsia="仿宋" w:cs="仿宋"/>
                <w:sz w:val="24"/>
                <w:szCs w:val="32"/>
                <w:lang w:eastAsia="zh-CN"/>
              </w:rPr>
              <w:t xml:space="preserve">  </w:t>
            </w:r>
            <w:r>
              <w:rPr>
                <w:rFonts w:hint="eastAsia" w:ascii="仿宋" w:hAnsi="仿宋" w:eastAsia="仿宋" w:cs="仿宋"/>
                <w:sz w:val="24"/>
                <w:szCs w:val="32"/>
              </w:rPr>
              <w:t>月</w:t>
            </w:r>
            <w:r>
              <w:rPr>
                <w:rFonts w:hint="eastAsia" w:ascii="仿宋" w:hAnsi="仿宋" w:eastAsia="仿宋" w:cs="仿宋"/>
                <w:sz w:val="24"/>
                <w:szCs w:val="32"/>
                <w:lang w:eastAsia="zh-CN"/>
              </w:rPr>
              <w:t xml:space="preserve">  </w:t>
            </w:r>
            <w:r>
              <w:rPr>
                <w:rFonts w:hint="eastAsia" w:ascii="仿宋" w:hAnsi="仿宋" w:eastAsia="仿宋" w:cs="仿宋"/>
                <w:sz w:val="24"/>
                <w:szCs w:val="32"/>
              </w:rPr>
              <w:t>日</w:t>
            </w:r>
          </w:p>
        </w:tc>
      </w:tr>
    </w:tbl>
    <w:p>
      <w:pPr>
        <w:pStyle w:val="2"/>
      </w:pP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p>
    <w:p>
      <w:pPr>
        <w:spacing w:line="40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w:t>
      </w:r>
    </w:p>
    <w:p>
      <w:pPr>
        <w:rPr>
          <w:rFonts w:ascii="仿宋" w:hAnsi="仿宋" w:eastAsia="仿宋" w:cs="仿宋"/>
          <w:sz w:val="22"/>
          <w:szCs w:val="28"/>
        </w:rPr>
      </w:pPr>
      <w:r>
        <w:rPr>
          <w:rFonts w:hint="eastAsia" w:ascii="仿宋" w:hAnsi="仿宋" w:eastAsia="仿宋" w:cs="仿宋"/>
          <w:sz w:val="28"/>
          <w:szCs w:val="28"/>
        </w:rPr>
        <w:t xml:space="preserve">        </w:t>
      </w:r>
    </w:p>
    <w:p>
      <w:pPr>
        <w:spacing w:line="574" w:lineRule="exact"/>
        <w:rPr>
          <w:rFonts w:ascii="仿宋" w:hAnsi="仿宋" w:eastAsia="仿宋" w:cs="仿宋"/>
          <w:sz w:val="32"/>
          <w:szCs w:val="32"/>
          <w:lang w:eastAsia="zh-CN"/>
        </w:rPr>
      </w:pPr>
    </w:p>
    <w:sectPr>
      <w:footerReference r:id="rId4" w:type="default"/>
      <w:pgSz w:w="11906" w:h="16838"/>
      <w:pgMar w:top="1440" w:right="1134" w:bottom="1440" w:left="1134" w:header="851" w:footer="992" w:gutter="0"/>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cs="Times New Roman"/>
        <w:sz w:val="20"/>
        <w:szCs w:val="20"/>
      </w:rPr>
    </w:pPr>
    <w:r>
      <w:rPr>
        <w:sz w:val="20"/>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t xml:space="preserve">— </w:t>
                          </w:r>
                          <w:r>
                            <w:fldChar w:fldCharType="begin"/>
                          </w:r>
                          <w:r>
                            <w:instrText xml:space="preserve"> PAGE  \* MERGEFORMAT </w:instrText>
                          </w:r>
                          <w:r>
                            <w:fldChar w:fldCharType="separate"/>
                          </w:r>
                          <w:r>
                            <w:t>20</w:t>
                          </w:r>
                          <w:r>
                            <w:fldChar w:fldCharType="end"/>
                          </w:r>
                          <w: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48</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48</w:t>
                    </w:r>
                    <w: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B5943DCB"/>
    <w:multiLevelType w:val="singleLevel"/>
    <w:tmpl w:val="B5943DC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6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0172A27"/>
    <w:rsid w:val="00172A27"/>
    <w:rsid w:val="00281178"/>
    <w:rsid w:val="005501FB"/>
    <w:rsid w:val="006444C2"/>
    <w:rsid w:val="00784A14"/>
    <w:rsid w:val="008255D0"/>
    <w:rsid w:val="0085789E"/>
    <w:rsid w:val="00927B5B"/>
    <w:rsid w:val="00A35C44"/>
    <w:rsid w:val="00AA570B"/>
    <w:rsid w:val="00B14597"/>
    <w:rsid w:val="00C616A2"/>
    <w:rsid w:val="00DE492E"/>
    <w:rsid w:val="00E251DC"/>
    <w:rsid w:val="00F20C83"/>
    <w:rsid w:val="00F919A9"/>
    <w:rsid w:val="00FB523C"/>
    <w:rsid w:val="00FC7B75"/>
    <w:rsid w:val="052F3AB7"/>
    <w:rsid w:val="06AA22E5"/>
    <w:rsid w:val="0EF63374"/>
    <w:rsid w:val="11672464"/>
    <w:rsid w:val="12853ED2"/>
    <w:rsid w:val="134768DF"/>
    <w:rsid w:val="14224BF0"/>
    <w:rsid w:val="161B669A"/>
    <w:rsid w:val="192B21B3"/>
    <w:rsid w:val="19E5114C"/>
    <w:rsid w:val="241724D8"/>
    <w:rsid w:val="25CE1DB0"/>
    <w:rsid w:val="269D68CA"/>
    <w:rsid w:val="26C1795C"/>
    <w:rsid w:val="2BE21A2F"/>
    <w:rsid w:val="2FAD1DCC"/>
    <w:rsid w:val="300C3A87"/>
    <w:rsid w:val="33426DD3"/>
    <w:rsid w:val="34086058"/>
    <w:rsid w:val="360C0D29"/>
    <w:rsid w:val="361719C1"/>
    <w:rsid w:val="370D2B2E"/>
    <w:rsid w:val="37512F06"/>
    <w:rsid w:val="3B3616FD"/>
    <w:rsid w:val="40E964C7"/>
    <w:rsid w:val="462772E2"/>
    <w:rsid w:val="47044A64"/>
    <w:rsid w:val="499910CF"/>
    <w:rsid w:val="4BFA3450"/>
    <w:rsid w:val="4D492641"/>
    <w:rsid w:val="4F59011B"/>
    <w:rsid w:val="50CA2BBB"/>
    <w:rsid w:val="51B015CD"/>
    <w:rsid w:val="54C33C62"/>
    <w:rsid w:val="557038BD"/>
    <w:rsid w:val="57752E80"/>
    <w:rsid w:val="57C16B81"/>
    <w:rsid w:val="5FC15772"/>
    <w:rsid w:val="5FC15FA1"/>
    <w:rsid w:val="60E87ADA"/>
    <w:rsid w:val="6104037C"/>
    <w:rsid w:val="63E814D0"/>
    <w:rsid w:val="64047E51"/>
    <w:rsid w:val="6433714F"/>
    <w:rsid w:val="65D57BE0"/>
    <w:rsid w:val="6A8D0A8A"/>
    <w:rsid w:val="6D4E5FC4"/>
    <w:rsid w:val="6D860727"/>
    <w:rsid w:val="71494FDF"/>
    <w:rsid w:val="732E26DE"/>
    <w:rsid w:val="740F66D5"/>
    <w:rsid w:val="751E451A"/>
    <w:rsid w:val="769B58D2"/>
    <w:rsid w:val="7B965B1F"/>
    <w:rsid w:val="7BC80DC1"/>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pPr>
    <w:rPr>
      <w:rFonts w:ascii="Times New Roman" w:hAnsi="Times New Roman" w:eastAsia="Times New Roman" w:cs="Arial Unicode MS"/>
      <w:sz w:val="24"/>
      <w:szCs w:val="24"/>
      <w:lang w:val="en-US" w:eastAsia="en-US" w:bidi="en-US"/>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w:basedOn w:val="1"/>
    <w:next w:val="3"/>
    <w:autoRedefine/>
    <w:qFormat/>
    <w:uiPriority w:val="0"/>
    <w:rPr>
      <w:rFonts w:ascii="华文中宋" w:eastAsia="华文中宋"/>
      <w:bCs/>
      <w:sz w:val="28"/>
    </w:rPr>
  </w:style>
  <w:style w:type="paragraph" w:customStyle="1" w:styleId="3">
    <w:name w:val="引用1"/>
    <w:next w:val="1"/>
    <w:qFormat/>
    <w:uiPriority w:val="0"/>
    <w:pPr>
      <w:wordWrap w:val="0"/>
      <w:spacing w:before="200" w:after="160" w:line="252" w:lineRule="auto"/>
      <w:ind w:left="864" w:right="864"/>
      <w:jc w:val="center"/>
    </w:pPr>
    <w:rPr>
      <w:rFonts w:ascii="Calibri" w:hAnsi="Calibri" w:eastAsia="宋体" w:cs="Times New Roman"/>
      <w:i/>
      <w:sz w:val="22"/>
      <w:lang w:val="en-US" w:eastAsia="zh-CN" w:bidi="ar-SA"/>
    </w:rPr>
  </w:style>
  <w:style w:type="paragraph" w:styleId="6">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7">
    <w:name w:val="footer"/>
    <w:basedOn w:val="1"/>
    <w:autoRedefine/>
    <w:qFormat/>
    <w:uiPriority w:val="99"/>
    <w:pPr>
      <w:tabs>
        <w:tab w:val="center" w:pos="4153"/>
        <w:tab w:val="right" w:pos="8306"/>
      </w:tabs>
      <w:snapToGrid w:val="0"/>
    </w:pPr>
    <w:rPr>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9">
    <w:name w:val="Normal (Web)"/>
    <w:basedOn w:val="1"/>
    <w:qFormat/>
    <w:uiPriority w:val="99"/>
    <w:pPr>
      <w:spacing w:beforeAutospacing="1" w:afterAutospacing="1"/>
    </w:pPr>
  </w:style>
  <w:style w:type="paragraph" w:styleId="10">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style>
  <w:style w:type="character" w:customStyle="1" w:styleId="15">
    <w:name w:val="font01"/>
    <w:basedOn w:val="13"/>
    <w:autoRedefine/>
    <w:qFormat/>
    <w:uiPriority w:val="0"/>
    <w:rPr>
      <w:rFonts w:hint="eastAsia" w:ascii="宋体" w:hAnsi="宋体" w:eastAsia="宋体" w:cs="宋体"/>
      <w:color w:val="000000"/>
      <w:sz w:val="22"/>
      <w:szCs w:val="22"/>
      <w:u w:val="none"/>
    </w:rPr>
  </w:style>
  <w:style w:type="character" w:customStyle="1" w:styleId="16">
    <w:name w:val="font61"/>
    <w:basedOn w:val="13"/>
    <w:autoRedefine/>
    <w:qFormat/>
    <w:uiPriority w:val="0"/>
    <w:rPr>
      <w:rFonts w:hint="eastAsia" w:ascii="宋体" w:hAnsi="宋体" w:eastAsia="宋体" w:cs="宋体"/>
      <w:color w:val="FF0000"/>
      <w:sz w:val="22"/>
      <w:szCs w:val="22"/>
      <w:u w:val="none"/>
    </w:rPr>
  </w:style>
  <w:style w:type="character" w:customStyle="1" w:styleId="17">
    <w:name w:val="font51"/>
    <w:basedOn w:val="13"/>
    <w:autoRedefine/>
    <w:qFormat/>
    <w:uiPriority w:val="0"/>
    <w:rPr>
      <w:rFonts w:hint="eastAsia" w:ascii="宋体" w:hAnsi="宋体" w:eastAsia="宋体" w:cs="宋体"/>
      <w:color w:val="000000"/>
      <w:sz w:val="20"/>
      <w:szCs w:val="20"/>
      <w:u w:val="none"/>
    </w:rPr>
  </w:style>
  <w:style w:type="character" w:customStyle="1" w:styleId="18">
    <w:name w:val="font71"/>
    <w:basedOn w:val="13"/>
    <w:autoRedefine/>
    <w:qFormat/>
    <w:uiPriority w:val="0"/>
    <w:rPr>
      <w:rFonts w:hint="eastAsia" w:ascii="宋体" w:hAnsi="宋体" w:eastAsia="宋体" w:cs="宋体"/>
      <w:color w:val="FF0000"/>
      <w:sz w:val="20"/>
      <w:szCs w:val="20"/>
      <w:u w:val="none"/>
    </w:rPr>
  </w:style>
  <w:style w:type="table" w:customStyle="1" w:styleId="19">
    <w:name w:val="Table Normal"/>
    <w:autoRedefine/>
    <w:unhideWhenUsed/>
    <w:qFormat/>
    <w:uiPriority w:val="0"/>
    <w:tblPr>
      <w:tblCellMar>
        <w:top w:w="0" w:type="dxa"/>
        <w:left w:w="0" w:type="dxa"/>
        <w:bottom w:w="0" w:type="dxa"/>
        <w:right w:w="0" w:type="dxa"/>
      </w:tblCellMar>
    </w:tblPr>
  </w:style>
  <w:style w:type="paragraph" w:customStyle="1" w:styleId="20">
    <w:name w:val="02、首行缩进2字符正文"/>
    <w:basedOn w:val="1"/>
    <w:qFormat/>
    <w:uiPriority w:val="0"/>
    <w:pPr>
      <w:tabs>
        <w:tab w:val="left" w:pos="0"/>
      </w:tabs>
      <w:wordWrap w:val="0"/>
      <w:topLinePunct/>
      <w:ind w:firstLine="480" w:firstLineChars="200"/>
    </w:pPr>
    <w:rPr>
      <w:rFonts w:hAnsi="宋体" w:cs="Times New Roman"/>
      <w:szCs w:val="20"/>
    </w:rPr>
  </w:style>
  <w:style w:type="paragraph" w:styleId="21">
    <w:name w:val="List Paragraph"/>
    <w:basedOn w:val="1"/>
    <w:qFormat/>
    <w:uiPriority w:val="34"/>
    <w:pPr>
      <w:ind w:firstLine="420" w:firstLineChars="200"/>
    </w:pPr>
  </w:style>
  <w:style w:type="paragraph" w:customStyle="1" w:styleId="22">
    <w:name w:val="样式 首行缩进:  2 字符"/>
    <w:basedOn w:val="1"/>
    <w:qFormat/>
    <w:uiPriority w:val="0"/>
    <w:pPr>
      <w:spacing w:line="400" w:lineRule="exact"/>
      <w:ind w:firstLine="200" w:firstLineChars="200"/>
    </w:pPr>
    <w:rPr>
      <w:rFonts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23635</Words>
  <Characters>29233</Characters>
  <Lines>229</Lines>
  <Paragraphs>64</Paragraphs>
  <TotalTime>41</TotalTime>
  <ScaleCrop>false</ScaleCrop>
  <LinksUpToDate>false</LinksUpToDate>
  <CharactersWithSpaces>30234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2024-07-30T08:03:42Z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