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00687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jc w:val="center"/>
        <w:rPr>
          <w:rFonts w:hint="eastAsia" w:hAnsi="宋体" w:cs="宋体"/>
          <w:b/>
          <w:bCs/>
          <w:sz w:val="44"/>
          <w:szCs w:val="4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44"/>
          <w:szCs w:val="44"/>
          <w:u w:val="none" w:color="auto"/>
          <w:lang w:val="en-US" w:eastAsia="zh-CN"/>
        </w:rPr>
        <w:t>采购需求</w:t>
      </w:r>
    </w:p>
    <w:p w14:paraId="32608AE2">
      <w:pPr>
        <w:pStyle w:val="2"/>
        <w:keepNext w:val="0"/>
        <w:keepLines w:val="0"/>
        <w:pageBreakBefore w:val="0"/>
        <w:overflowPunct/>
        <w:bidi w:val="0"/>
        <w:spacing w:line="576" w:lineRule="exact"/>
        <w:rPr>
          <w:rFonts w:hint="eastAsia"/>
          <w:lang w:val="en-US" w:eastAsia="zh-CN"/>
        </w:rPr>
      </w:pPr>
    </w:p>
    <w:p w14:paraId="66333F3E">
      <w:pPr>
        <w:pStyle w:val="7"/>
        <w:keepNext w:val="0"/>
        <w:keepLines w:val="0"/>
        <w:pageBreakBefore w:val="0"/>
        <w:overflowPunct/>
        <w:bidi w:val="0"/>
        <w:spacing w:line="576" w:lineRule="exact"/>
        <w:ind w:firstLine="482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FF0000"/>
          <w:sz w:val="24"/>
          <w:u w:val="single"/>
        </w:rPr>
        <w:t>注：以“★”标示的内容为实质性要求，属于必须遵守的条件；如不满足将作无效响应文件处理。</w:t>
      </w:r>
    </w:p>
    <w:p w14:paraId="7D206966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u w:val="none" w:color="auto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 w:color="auto"/>
        </w:rPr>
        <w:t>一、项目概述</w:t>
      </w:r>
    </w:p>
    <w:p w14:paraId="179F5EB9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u w:val="none" w:color="auto"/>
        </w:rPr>
        <w:t>“</w:t>
      </w:r>
      <w:r>
        <w:rPr>
          <w:rFonts w:hint="eastAsia" w:hAnsi="宋体" w:cs="宋体"/>
          <w:sz w:val="24"/>
          <w:szCs w:val="24"/>
          <w:u w:val="none" w:color="auto"/>
          <w:lang w:eastAsia="zh-CN"/>
        </w:rPr>
        <w:t>《李白·将进酒》舞台剧（暂定名）作品创作、制作服务项目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”项目要求以李白、绵阳、江油等为主要元素，围绕李白IP、以</w:t>
      </w:r>
      <w:r>
        <w:rPr>
          <w:rFonts w:hint="eastAsia" w:hAnsi="宋体" w:cs="宋体"/>
          <w:sz w:val="24"/>
          <w:szCs w:val="24"/>
          <w:u w:val="none" w:color="auto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与东方演艺集团合作的巡演版音乐剧《将进酒》为基础、以江油大剧院为演出剧场，创制驻场版</w:t>
      </w:r>
      <w:r>
        <w:rPr>
          <w:rFonts w:hint="eastAsia" w:hAnsi="宋体" w:cs="宋体"/>
          <w:sz w:val="24"/>
          <w:szCs w:val="24"/>
          <w:u w:val="none" w:color="auto"/>
          <w:lang w:eastAsia="zh-CN"/>
        </w:rPr>
        <w:t>《李白·将进酒》舞台剧（暂定名）。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资金来源为江油博飞文化旅游开发集团有限公司自筹资金，采购限额估算金额为</w:t>
      </w:r>
      <w:r>
        <w:rPr>
          <w:rFonts w:hint="eastAsia" w:hAnsi="宋体" w:cs="宋体"/>
          <w:sz w:val="24"/>
          <w:szCs w:val="24"/>
          <w:highlight w:val="none"/>
          <w:u w:val="none" w:color="auto"/>
          <w:lang w:val="en-US" w:eastAsia="zh-CN"/>
        </w:rPr>
        <w:t>350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 w:color="auto"/>
        </w:rPr>
        <w:t>万元。</w:t>
      </w:r>
    </w:p>
    <w:p w14:paraId="15C1CA37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643" w:firstLineChars="200"/>
        <w:rPr>
          <w:rFonts w:hint="eastAsia" w:ascii="宋体" w:hAnsi="宋体" w:eastAsia="宋体" w:cs="宋体"/>
          <w:b/>
          <w:bCs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 w:color="auto"/>
        </w:rPr>
        <w:t>二、采购项目标的清单</w:t>
      </w:r>
    </w:p>
    <w:p w14:paraId="79027864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u w:val="none" w:color="auto"/>
        </w:rPr>
      </w:pPr>
      <w:r>
        <w:rPr>
          <w:rFonts w:hint="eastAsia" w:hAnsi="宋体" w:eastAsia="宋体" w:cs="宋体"/>
          <w:b/>
          <w:bCs/>
          <w:sz w:val="24"/>
          <w:szCs w:val="24"/>
          <w:u w:val="none" w:color="auto"/>
          <w:lang w:eastAsia="zh-Hans"/>
        </w:rPr>
        <w:t>（</w:t>
      </w:r>
      <w:r>
        <w:rPr>
          <w:rFonts w:hint="eastAsia" w:hAnsi="宋体" w:eastAsia="宋体" w:cs="宋体"/>
          <w:b/>
          <w:bCs/>
          <w:sz w:val="24"/>
          <w:szCs w:val="24"/>
          <w:u w:val="none" w:color="auto"/>
          <w:lang w:val="en-US" w:eastAsia="zh-Hans"/>
        </w:rPr>
        <w:t>一</w:t>
      </w:r>
      <w:r>
        <w:rPr>
          <w:rFonts w:hint="eastAsia" w:hAnsi="宋体" w:eastAsia="宋体" w:cs="宋体"/>
          <w:b/>
          <w:bCs/>
          <w:sz w:val="24"/>
          <w:szCs w:val="24"/>
          <w:u w:val="none" w:color="auto"/>
          <w:lang w:eastAsia="zh-Hans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  <w:u w:val="none" w:color="auto"/>
        </w:rPr>
        <w:t>项目名称、技术规格和配置要求、数量</w:t>
      </w:r>
    </w:p>
    <w:tbl>
      <w:tblPr>
        <w:tblStyle w:val="6"/>
        <w:tblW w:w="882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6423"/>
        <w:gridCol w:w="1428"/>
      </w:tblGrid>
      <w:tr w14:paraId="6BBC0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1" w:type="dxa"/>
            <w:noWrap w:val="0"/>
            <w:vAlign w:val="top"/>
          </w:tcPr>
          <w:p w14:paraId="6019D1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  <w:t>序号</w:t>
            </w:r>
          </w:p>
        </w:tc>
        <w:tc>
          <w:tcPr>
            <w:tcW w:w="6423" w:type="dxa"/>
            <w:noWrap w:val="0"/>
            <w:vAlign w:val="top"/>
          </w:tcPr>
          <w:p w14:paraId="1C3F79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  <w:t>标的名称</w:t>
            </w:r>
          </w:p>
        </w:tc>
        <w:tc>
          <w:tcPr>
            <w:tcW w:w="1428" w:type="dxa"/>
            <w:noWrap w:val="0"/>
            <w:vAlign w:val="top"/>
          </w:tcPr>
          <w:p w14:paraId="492434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  <w:t>数量</w:t>
            </w:r>
          </w:p>
        </w:tc>
      </w:tr>
      <w:tr w14:paraId="45F937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971" w:type="dxa"/>
            <w:noWrap w:val="0"/>
            <w:vAlign w:val="top"/>
          </w:tcPr>
          <w:p w14:paraId="5324D9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</w:pPr>
          </w:p>
          <w:p w14:paraId="4C18E2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  <w:t>１</w:t>
            </w:r>
          </w:p>
        </w:tc>
        <w:tc>
          <w:tcPr>
            <w:tcW w:w="6423" w:type="dxa"/>
            <w:noWrap w:val="0"/>
            <w:vAlign w:val="top"/>
          </w:tcPr>
          <w:p w14:paraId="39682B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</w:pPr>
          </w:p>
          <w:p w14:paraId="67BA50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u w:val="none" w:color="auto"/>
                <w:lang w:eastAsia="zh-CN"/>
              </w:rPr>
              <w:t>《李白·将进酒》舞台剧（暂定名）作品创作、制作服务项目</w:t>
            </w:r>
          </w:p>
        </w:tc>
        <w:tc>
          <w:tcPr>
            <w:tcW w:w="1428" w:type="dxa"/>
            <w:noWrap w:val="0"/>
            <w:vAlign w:val="top"/>
          </w:tcPr>
          <w:p w14:paraId="58763C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</w:pPr>
          </w:p>
          <w:p w14:paraId="02D150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6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eastAsia" w:hAnsi="宋体" w:eastAsia="宋体" w:cs="宋体"/>
                <w:color w:val="auto"/>
                <w:sz w:val="24"/>
                <w:szCs w:val="24"/>
                <w:u w:val="none" w:color="auto"/>
                <w:lang w:val="en-US" w:eastAsia="zh-CN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 w:color="auto"/>
              </w:rPr>
              <w:t>家</w:t>
            </w:r>
          </w:p>
        </w:tc>
      </w:tr>
    </w:tbl>
    <w:p w14:paraId="75099A91">
      <w:pPr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highlight w:val="none"/>
          <w:u w:val="none" w:color="auto"/>
        </w:rPr>
      </w:pPr>
      <w:r>
        <w:rPr>
          <w:rFonts w:hint="eastAsia" w:hAnsi="宋体" w:eastAsia="宋体" w:cs="宋体"/>
          <w:b/>
          <w:bCs/>
          <w:color w:val="FF0000"/>
          <w:sz w:val="24"/>
          <w:szCs w:val="24"/>
          <w:highlight w:val="none"/>
          <w:u w:val="none" w:color="auto"/>
          <w:lang w:eastAsia="zh-Hans"/>
        </w:rPr>
        <w:t>★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u w:val="none" w:color="auto"/>
          <w:lang w:eastAsia="zh-Hans"/>
        </w:rPr>
        <w:t>（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u w:val="none" w:color="auto"/>
          <w:lang w:val="en-US" w:eastAsia="zh-Hans"/>
        </w:rPr>
        <w:t>二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u w:val="none" w:color="auto"/>
          <w:lang w:eastAsia="zh-Hans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u w:val="none" w:color="auto"/>
        </w:rPr>
        <w:t>技术要求</w:t>
      </w:r>
    </w:p>
    <w:p w14:paraId="3546AAD0">
      <w:pPr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default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1、技术要求</w:t>
      </w:r>
    </w:p>
    <w:p w14:paraId="15C6BFC7">
      <w:pPr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</w:rPr>
      </w:pP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eastAsia="zh-CN"/>
        </w:rPr>
        <w:t>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1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eastAsia="zh-CN"/>
        </w:rPr>
        <w:t>）</w:t>
      </w:r>
      <w:r>
        <w:rPr>
          <w:rFonts w:hint="eastAsia" w:hAnsi="宋体" w:eastAsia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服务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</w:rPr>
        <w:t>内容</w:t>
      </w:r>
    </w:p>
    <w:p w14:paraId="2D13B844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①内容创作：</w:t>
      </w:r>
      <w:r>
        <w:rPr>
          <w:rFonts w:hint="eastAsia" w:ascii="宋体" w:hAnsi="宋体" w:eastAsia="宋体" w:cs="宋体"/>
          <w:color w:val="auto"/>
          <w:sz w:val="24"/>
          <w:szCs w:val="24"/>
          <w:u w:val="none" w:color="auto"/>
        </w:rPr>
        <w:t>以李白、绵阳、江油等为主要元素，围绕李白IP、以</w:t>
      </w:r>
      <w:r>
        <w:rPr>
          <w:rFonts w:hint="eastAsia" w:hAnsi="宋体" w:cs="宋体"/>
          <w:color w:val="auto"/>
          <w:sz w:val="24"/>
          <w:szCs w:val="24"/>
          <w:u w:val="none" w:color="auto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u w:val="none" w:color="auto"/>
        </w:rPr>
        <w:t>与东方演艺集团合作的巡演版音乐剧《将进酒》为基础、以江油大剧院为演出剧场，创制驻场版</w:t>
      </w:r>
      <w:r>
        <w:rPr>
          <w:rFonts w:hint="eastAsia" w:hAnsi="宋体" w:cs="宋体"/>
          <w:color w:val="auto"/>
          <w:sz w:val="24"/>
          <w:szCs w:val="24"/>
          <w:u w:val="none" w:color="auto"/>
          <w:lang w:eastAsia="zh-CN"/>
        </w:rPr>
        <w:t>《李白·将进酒》舞台剧（暂定名）。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</w:rPr>
        <w:t>包括但不限于：剧本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val="en-US" w:eastAsia="zh-CN"/>
        </w:rPr>
        <w:t>改编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</w:rPr>
        <w:t>、剧目导演与编排、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val="en-US" w:eastAsia="zh-CN"/>
        </w:rPr>
        <w:t>执行编导、声乐指导、舞蹈编导、服装、化妆造型、视频（多媒体）、道具、音响、舞美置景、舞台操控、灯光操控、音乐音效等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val="en-US" w:eastAsia="zh-CN"/>
        </w:rPr>
        <w:t>的创作、设计与制作，以及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</w:rPr>
        <w:t>剧目排练、合成、彩排、试演、江油大剧院2场首演等全部工作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auto"/>
          <w:lang w:eastAsia="zh-CN"/>
        </w:rPr>
        <w:t>。</w:t>
      </w:r>
    </w:p>
    <w:p w14:paraId="3688480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eastAsia="zh-Hans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②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表现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eastAsia="zh-CN"/>
        </w:rPr>
        <w:t>形式：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舞台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eastAsia="zh-CN"/>
        </w:rPr>
        <w:t>剧。</w:t>
      </w:r>
    </w:p>
    <w:p w14:paraId="7552B096">
      <w:pPr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eastAsia="宋体"/>
          <w:color w:val="auto"/>
          <w:sz w:val="24"/>
          <w:szCs w:val="24"/>
          <w:highlight w:val="none"/>
          <w:lang w:eastAsia="zh-Hans"/>
        </w:rPr>
      </w:pP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eastAsia="zh-CN"/>
        </w:rPr>
        <w:t>（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2</w:t>
      </w: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</w:rPr>
        <w:t>产品质量要求</w:t>
      </w:r>
      <w:r>
        <w:rPr>
          <w:rFonts w:hint="eastAsia" w:hAnsi="宋体" w:eastAsia="宋体" w:cs="宋体"/>
          <w:b/>
          <w:bCs/>
          <w:color w:val="auto"/>
          <w:sz w:val="24"/>
          <w:szCs w:val="24"/>
          <w:highlight w:val="none"/>
          <w:u w:val="none" w:color="auto"/>
          <w:lang w:eastAsia="zh-Hans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</w:rPr>
        <w:t>响应文件中根据自身情况提供承诺</w:t>
      </w:r>
      <w:r>
        <w:rPr>
          <w:rFonts w:hint="eastAsia" w:hAnsi="宋体" w:eastAsia="宋体" w:cs="宋体"/>
          <w:b/>
          <w:bCs/>
          <w:color w:val="auto"/>
          <w:sz w:val="24"/>
          <w:szCs w:val="24"/>
          <w:highlight w:val="none"/>
          <w:u w:val="none" w:color="auto"/>
          <w:lang w:eastAsia="zh-Hans"/>
        </w:rPr>
        <w:t>）</w:t>
      </w:r>
    </w:p>
    <w:p w14:paraId="1CDEDEC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76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①</w:t>
      </w:r>
      <w:r>
        <w:rPr>
          <w:rFonts w:hint="eastAsia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内容要求：</w:t>
      </w:r>
      <w:r>
        <w:rPr>
          <w:rFonts w:hint="eastAsia" w:ascii="宋体" w:eastAsia="宋体" w:cs="黑体"/>
          <w:b/>
          <w:bCs/>
          <w:color w:val="auto"/>
          <w:sz w:val="24"/>
          <w:szCs w:val="24"/>
          <w:u w:val="none" w:color="auto"/>
          <w:lang w:val="en-US" w:eastAsia="zh-CN" w:bidi="ar-SA"/>
        </w:rPr>
        <w:t>一是</w:t>
      </w:r>
      <w:r>
        <w:rPr>
          <w:rFonts w:hint="eastAsia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展现江油当地风貌。随着剧情的展开，将古代巴蜀以及江油当地的山水、风土、人情再现于舞台之上，借助数字技术打造视觉奇观。</w:t>
      </w:r>
      <w:r>
        <w:rPr>
          <w:rFonts w:hint="eastAsia" w:ascii="宋体" w:eastAsia="宋体" w:cs="黑体"/>
          <w:b/>
          <w:bCs/>
          <w:color w:val="auto"/>
          <w:sz w:val="24"/>
          <w:szCs w:val="24"/>
          <w:u w:val="none" w:color="auto"/>
          <w:lang w:val="en-US" w:eastAsia="zh-CN" w:bidi="ar-SA"/>
        </w:rPr>
        <w:t>二是</w:t>
      </w:r>
      <w:r>
        <w:rPr>
          <w:rFonts w:hint="default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聚焦李白在江油的成长历程</w:t>
      </w:r>
      <w:r>
        <w:rPr>
          <w:rFonts w:hint="eastAsia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。</w:t>
      </w:r>
      <w:r>
        <w:rPr>
          <w:rFonts w:hint="default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本剧</w:t>
      </w:r>
      <w:r>
        <w:rPr>
          <w:rFonts w:hint="eastAsia" w:ascii="宋体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要求</w:t>
      </w:r>
      <w:r>
        <w:rPr>
          <w:rFonts w:hint="default" w:ascii="宋体" w:hAnsi="Calibri" w:eastAsia="宋体" w:cs="黑体"/>
          <w:bCs w:val="0"/>
          <w:color w:val="auto"/>
          <w:sz w:val="24"/>
          <w:szCs w:val="24"/>
          <w:u w:val="none" w:color="auto"/>
          <w:lang w:val="en-US" w:eastAsia="zh-CN" w:bidi="ar-SA"/>
        </w:rPr>
        <w:t>加大对诗人童年和少年经历的刻画，重现其青年时期在绵阳江油生活和学习的种种情景，将李白在陇西院、粉竹楼、洗墨池、磨针溪、读书台、大匡山等处留有的故事或传说进行延展，转化为推动剧目走向的重要情节。</w:t>
      </w:r>
    </w:p>
    <w:p w14:paraId="46D981E5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②主创要求：主创人员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Hans"/>
        </w:rPr>
        <w:t>应具备优秀的创作水准和制作能力，有大型影视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或舞台作品创作制作经验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、并获得省级以上奖项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，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参演的主要演员应为具有一定水准的专业演员。</w:t>
      </w:r>
    </w:p>
    <w:p w14:paraId="47835BFB">
      <w:pPr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（3）</w:t>
      </w:r>
      <w:r>
        <w:rPr>
          <w:rFonts w:hint="eastAsia" w:hAnsi="宋体" w:eastAsia="宋体" w:cs="宋体"/>
          <w:b/>
          <w:bCs/>
          <w:color w:val="auto"/>
          <w:sz w:val="24"/>
          <w:szCs w:val="24"/>
          <w:highlight w:val="none"/>
          <w:u w:val="none" w:color="auto"/>
          <w:lang w:val="en-US" w:eastAsia="zh-Hans"/>
        </w:rPr>
        <w:t>创制及演出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none" w:color="auto"/>
        </w:rPr>
        <w:t>要求</w:t>
      </w:r>
    </w:p>
    <w:p w14:paraId="1530E69D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①创作要求：</w:t>
      </w:r>
    </w:p>
    <w:p w14:paraId="647F492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主创团队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应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进行采风，捕捉故事典例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、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收集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李白生平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资料，并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与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江油当地专家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进行研讨，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在原剧本基础上进一步挖掘故事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、提炼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精华，对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剧本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进行再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创作、审查、修改、调整与定稿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；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组建编导团队，进行歌舞剧前期音乐创作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；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主演、演员组建、排练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；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执行团队组建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，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服装、道具、造型、灯光等确定，然后进行排练、首演等阶段。</w:t>
      </w:r>
    </w:p>
    <w:p w14:paraId="35737176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②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制作要求：</w:t>
      </w:r>
    </w:p>
    <w:p w14:paraId="0FFD1EA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4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年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7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月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31日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前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完成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剧本研讨、审查、定稿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；</w:t>
      </w:r>
    </w:p>
    <w:p w14:paraId="78288DB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4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年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8</w:t>
      </w:r>
      <w:r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月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25日前完成全部音乐制作。</w:t>
      </w:r>
    </w:p>
    <w:p w14:paraId="4B6B882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2024年9月12-15日完成舞美道具（含多媒体、视频）装台及制作；</w:t>
      </w:r>
    </w:p>
    <w:p w14:paraId="69FA549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2024年9月13日前完成服装进场；</w:t>
      </w:r>
    </w:p>
    <w:p w14:paraId="6B230A0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2024年9月16-20日完成江油大剧院排练、合成、审查、修改、试演；</w:t>
      </w:r>
    </w:p>
    <w:p w14:paraId="448356B3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default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 xml:space="preserve">2024年10月1日、2日首演各1场。   </w:t>
      </w:r>
    </w:p>
    <w:p w14:paraId="0F7D7557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default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Hans"/>
        </w:rPr>
      </w:pP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（4）</w:t>
      </w: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Hans"/>
        </w:rPr>
        <w:t>演出要求：</w:t>
      </w:r>
    </w:p>
    <w:p w14:paraId="237901D5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76" w:lineRule="exact"/>
        <w:ind w:firstLine="480" w:firstLineChars="200"/>
        <w:rPr>
          <w:rFonts w:hint="eastAsia" w:hAnsi="宋体" w:cs="宋体"/>
          <w:b/>
          <w:bCs/>
          <w:color w:val="auto"/>
          <w:spacing w:val="16"/>
          <w:sz w:val="24"/>
          <w:szCs w:val="24"/>
          <w:u w:val="none" w:color="auto"/>
          <w:lang w:val="en-US" w:eastAsia="zh-CN"/>
        </w:rPr>
      </w:pP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2024年10月1日、2日在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江油大剧院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进行演出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。</w:t>
      </w:r>
    </w:p>
    <w:p w14:paraId="686CA436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76" w:lineRule="exact"/>
        <w:ind w:firstLine="482" w:firstLineChars="200"/>
        <w:rPr>
          <w:rFonts w:hint="eastAsia" w:hAnsi="宋体" w:cs="宋体"/>
          <w:b/>
          <w:bCs/>
          <w:color w:val="auto"/>
          <w:spacing w:val="16"/>
          <w:sz w:val="24"/>
          <w:szCs w:val="24"/>
          <w:u w:val="none" w:color="auto"/>
          <w:lang w:val="en-US" w:eastAsia="zh-CN"/>
        </w:rPr>
      </w:pPr>
      <w:r>
        <w:rPr>
          <w:rFonts w:hint="eastAsia" w:hAnsi="宋体" w:eastAsia="宋体" w:cs="宋体"/>
          <w:b/>
          <w:bCs/>
          <w:color w:val="FF0000"/>
          <w:sz w:val="24"/>
          <w:szCs w:val="24"/>
          <w:highlight w:val="none"/>
          <w:u w:val="none" w:color="auto"/>
          <w:lang w:eastAsia="zh-Hans"/>
        </w:rPr>
        <w:t>★</w:t>
      </w:r>
      <w:r>
        <w:rPr>
          <w:rFonts w:hint="eastAsia" w:hAnsi="宋体" w:cs="宋体"/>
          <w:b/>
          <w:bCs/>
          <w:color w:val="auto"/>
          <w:spacing w:val="16"/>
          <w:sz w:val="24"/>
          <w:szCs w:val="24"/>
          <w:u w:val="none" w:color="auto"/>
          <w:lang w:val="en-US" w:eastAsia="zh-CN"/>
        </w:rPr>
        <w:t>（三）商务要求</w:t>
      </w:r>
    </w:p>
    <w:p w14:paraId="0FBDD03D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hAnsi="宋体" w:cs="宋体"/>
          <w:b/>
          <w:bCs/>
          <w:color w:val="auto"/>
          <w:spacing w:val="16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1.首演时间</w:t>
      </w: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Hans"/>
        </w:rPr>
        <w:t>：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2024年10月1日、2日</w:t>
      </w:r>
    </w:p>
    <w:p w14:paraId="0C1AB03C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2.演出地点</w:t>
      </w: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Hans"/>
        </w:rPr>
        <w:t>：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江油大剧院</w:t>
      </w:r>
    </w:p>
    <w:p w14:paraId="2CDAE254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3.费用支付方式及知识产权：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竞争性磋商文件第六章合同主要条款</w:t>
      </w:r>
    </w:p>
    <w:p w14:paraId="2A1971C5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2" w:firstLineChars="200"/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/>
          <w:bCs/>
          <w:color w:val="auto"/>
          <w:sz w:val="24"/>
          <w:szCs w:val="24"/>
          <w:highlight w:val="none"/>
          <w:u w:val="none" w:color="auto"/>
          <w:lang w:val="en-US" w:eastAsia="zh-CN"/>
        </w:rPr>
        <w:t>4.报价应当包括以下费用：</w:t>
      </w:r>
    </w:p>
    <w:p w14:paraId="34A4BD2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（1）创作费用（导演、编剧及相关主创人员费用、作曲、编舞、服装设计、舞美设计、灯光设计、道具及布景设计、造型设计、多媒体设计等相关人员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Hans"/>
        </w:rPr>
        <w:t>费用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）；</w:t>
      </w:r>
    </w:p>
    <w:p w14:paraId="36E3F192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（2）制作费用（包括音乐制作、舞美制作、道具制作、服装制作等）；</w:t>
      </w:r>
    </w:p>
    <w:p w14:paraId="477116F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（3）排练、合成、试演、首演期间所需舞美、道具、服装、器材等运输、装卸台等相关费用；</w:t>
      </w:r>
    </w:p>
    <w:p w14:paraId="3BE3077C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（4）2名核心演员费用及演员的城际大交通费。</w:t>
      </w:r>
    </w:p>
    <w:p w14:paraId="3A58E0D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10" w:lineRule="exact"/>
        <w:ind w:firstLine="480" w:firstLineChars="200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（5）税费。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jM1MzhjODczMzgzYjY1YmMyMmU0MzE5ZGQxY2IifQ=="/>
  </w:docVars>
  <w:rsids>
    <w:rsidRoot w:val="49E42AC1"/>
    <w:rsid w:val="0AF0197C"/>
    <w:rsid w:val="0FEC4358"/>
    <w:rsid w:val="0FFF6590"/>
    <w:rsid w:val="16F6335F"/>
    <w:rsid w:val="1C117765"/>
    <w:rsid w:val="22E408A3"/>
    <w:rsid w:val="29A0670C"/>
    <w:rsid w:val="2B4607A0"/>
    <w:rsid w:val="2B9035CC"/>
    <w:rsid w:val="2EE31FF3"/>
    <w:rsid w:val="345968F2"/>
    <w:rsid w:val="37804521"/>
    <w:rsid w:val="404D65D2"/>
    <w:rsid w:val="49E42AC1"/>
    <w:rsid w:val="4FB27A37"/>
    <w:rsid w:val="529F5982"/>
    <w:rsid w:val="552275B9"/>
    <w:rsid w:val="58577748"/>
    <w:rsid w:val="597C4171"/>
    <w:rsid w:val="5F6B1E67"/>
    <w:rsid w:val="62116297"/>
    <w:rsid w:val="666E5DC4"/>
    <w:rsid w:val="6B750FBA"/>
    <w:rsid w:val="6F9C61AB"/>
    <w:rsid w:val="715B044E"/>
    <w:rsid w:val="743D0F27"/>
    <w:rsid w:val="784E35B3"/>
    <w:rsid w:val="79ED50E0"/>
    <w:rsid w:val="7B14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Calibri" w:eastAsia="宋体" w:cs="黑体"/>
      <w:sz w:val="3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02、首行缩进2字符正文"/>
    <w:basedOn w:val="1"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hAnsi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1399</Words>
  <Characters>1445</Characters>
  <Lines>0</Lines>
  <Paragraphs>0</Paragraphs>
  <TotalTime>12</TotalTime>
  <ScaleCrop>false</ScaleCrop>
  <LinksUpToDate>false</LinksUpToDate>
  <CharactersWithSpaces>1449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2022-11-22T14:40:00Z</dcterms:created>
  <dc:creator>一路向前</dc:creator>
  <cp:lastModifiedBy>一路向前</cp:lastModifiedBy>
  <cp:lastPrinted>2024-07-19T02:34:00Z</cp:lastPrinted>
  <dcterms:modified xsi:type="dcterms:W3CDTF">2024-07-26T14:34:51Z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A9AE99E3C8CC451BA42C4E947978B528_13</vt:lpwstr>
  </property>
</Properties>
</file>