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为奇峰酒店提供演艺增值服务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进行</w:t>
      </w:r>
      <w:r>
        <w:rPr>
          <w:rFonts w:hint="eastAsia" w:ascii="Times New Roman" w:hAnsi="Times New Roman" w:eastAsia="仿宋_GB2312" w:cs="Times New Roman"/>
          <w:sz w:val="32"/>
          <w:szCs w:val="32"/>
          <w:highlight w:val="none"/>
          <w:lang w:val="en-US" w:eastAsia="zh-CN"/>
        </w:rPr>
        <w:t>演艺</w:t>
      </w:r>
      <w:r>
        <w:rPr>
          <w:rFonts w:hint="default" w:ascii="Times New Roman" w:hAnsi="Times New Roman" w:eastAsia="仿宋_GB2312" w:cs="Times New Roman"/>
          <w:sz w:val="32"/>
          <w:szCs w:val="32"/>
          <w:highlight w:val="none"/>
        </w:rPr>
        <w:t>表演，</w:t>
      </w:r>
      <w:r>
        <w:rPr>
          <w:rFonts w:hint="eastAsia" w:ascii="Times New Roman" w:hAnsi="Times New Roman" w:eastAsia="仿宋_GB2312" w:cs="Times New Roman"/>
          <w:sz w:val="32"/>
          <w:szCs w:val="32"/>
          <w:highlight w:val="none"/>
          <w:lang w:val="en-US" w:eastAsia="zh-CN"/>
        </w:rPr>
        <w:t>演艺</w:t>
      </w:r>
      <w:r>
        <w:rPr>
          <w:rFonts w:hint="default" w:ascii="Times New Roman" w:hAnsi="Times New Roman" w:eastAsia="仿宋_GB2312" w:cs="Times New Roman"/>
          <w:sz w:val="32"/>
          <w:szCs w:val="32"/>
          <w:highlight w:val="none"/>
        </w:rPr>
        <w:t>内容包含经典曲目和现代流行元素</w:t>
      </w:r>
      <w:r>
        <w:rPr>
          <w:rFonts w:hint="eastAsia" w:ascii="Times New Roman" w:hAnsi="Times New Roman" w:eastAsia="仿宋_GB2312" w:cs="Times New Roman"/>
          <w:sz w:val="32"/>
          <w:szCs w:val="32"/>
          <w:highlight w:val="none"/>
          <w:lang w:val="en-US" w:eastAsia="zh-CN"/>
        </w:rPr>
        <w:t>等</w:t>
      </w:r>
      <w:r>
        <w:rPr>
          <w:rFonts w:hint="default" w:ascii="Times New Roman" w:hAnsi="Times New Roman" w:eastAsia="仿宋_GB2312" w:cs="Times New Roman"/>
          <w:sz w:val="32"/>
          <w:szCs w:val="32"/>
          <w:highlight w:val="none"/>
        </w:rPr>
        <w:t>，以满足不同年龄</w:t>
      </w:r>
      <w:r>
        <w:rPr>
          <w:rFonts w:hint="eastAsia" w:ascii="Times New Roman" w:hAnsi="Times New Roman" w:eastAsia="仿宋_GB2312" w:cs="Times New Roman"/>
          <w:sz w:val="32"/>
          <w:szCs w:val="32"/>
          <w:highlight w:val="none"/>
          <w:lang w:val="en-US" w:eastAsia="zh-CN"/>
        </w:rPr>
        <w:t>段</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不同</w:t>
      </w:r>
      <w:r>
        <w:rPr>
          <w:rFonts w:hint="default" w:ascii="Times New Roman" w:hAnsi="Times New Roman" w:eastAsia="仿宋_GB2312" w:cs="Times New Roman"/>
          <w:sz w:val="32"/>
          <w:szCs w:val="32"/>
          <w:highlight w:val="none"/>
        </w:rPr>
        <w:t>喜好的宾客需求。</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演艺内容及要求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详见演艺方案明细表</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2.奇峰酒店演艺增值服务项目最高限价为人民币8.1万元。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pStyle w:val="5"/>
        <w:ind w:left="0" w:leftChars="0" w:firstLine="0" w:firstLineChars="0"/>
        <w:jc w:val="center"/>
        <w:rPr>
          <w:rFonts w:hint="eastAsia" w:ascii="方正小标宋简体" w:hAnsi="方正小标宋简体" w:eastAsia="方正小标宋简体" w:cs="方正小标宋简体"/>
          <w:b/>
          <w:bCs/>
          <w:sz w:val="44"/>
          <w:szCs w:val="44"/>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5"/>
        <w:ind w:left="0" w:leftChars="0" w:firstLine="0" w:firstLineChars="0"/>
        <w:jc w:val="center"/>
        <w:rPr>
          <w:rFonts w:hint="default"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演艺方案明细表</w:t>
      </w:r>
    </w:p>
    <w:tbl>
      <w:tblPr>
        <w:tblStyle w:val="6"/>
        <w:tblW w:w="13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3"/>
        <w:gridCol w:w="1722"/>
        <w:gridCol w:w="1158"/>
        <w:gridCol w:w="2027"/>
        <w:gridCol w:w="1890"/>
        <w:gridCol w:w="2895"/>
        <w:gridCol w:w="1215"/>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奇峰酒店活动方案（每周两场）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周六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表演人员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表演内容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表演时长（分钟）</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演员介绍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魔术+主持人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&lt;《魔手神彩》</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变脸（吐火）</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&lt;&lt;变脸吐火&gt;&gt;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欢乐小丑</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小丑</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&lt;&lt;笨笨和壮壮&gt;&gt;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唱歌</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歌手</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2-3首歌</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二人转</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&lt;&lt;贯口&gt;&gt;《绝活》</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总费用</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4800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15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说明：整场活动主持由魔术师（1人）衔接，变脸1人，欢乐小丑1人，职业歌手1人，二人转2人，共计6人。</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周日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表演人员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表演内容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表演时长</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演员介绍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泡泡秀+主持人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&lt;&lt;梦幻泡泡秀&gt;&gt;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杂技+中江表妹</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&lt;&lt;中江表妹&gt;&gt;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欢乐小丑</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小丑1</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&lt;&lt;气球达人&gt;&gt;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科学秀展示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&lt;&lt;火纸&gt;&gt;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总费用</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4200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说明：整场活动主持人1人（主持＋泡泡秀），杂技1人，小丑1人，科学秀1人，共计四人。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2"/>
                <w:szCs w:val="22"/>
                <w:u w:val="none"/>
              </w:rPr>
            </w:pPr>
            <w:r>
              <w:rPr>
                <w:rFonts w:hint="eastAsia" w:ascii="宋体" w:hAnsi="宋体" w:eastAsia="宋体" w:cs="宋体"/>
                <w:b/>
                <w:bCs/>
                <w:i w:val="0"/>
                <w:iCs w:val="0"/>
                <w:color w:val="FF0000"/>
                <w:kern w:val="0"/>
                <w:sz w:val="22"/>
                <w:szCs w:val="22"/>
                <w:u w:val="none"/>
                <w:lang w:val="en-US" w:eastAsia="zh-CN" w:bidi="ar"/>
              </w:rPr>
              <w:t>注：7月至8月预计9个周末，合计金额约：（4800+4200）*9=81000元</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sectPr>
          <w:pgSz w:w="16838" w:h="11906" w:orient="landscape"/>
          <w:pgMar w:top="1803" w:right="1440" w:bottom="1803" w:left="1440" w:header="851" w:footer="992" w:gutter="0"/>
          <w:cols w:space="0" w:num="1"/>
          <w:rtlGutter w:val="0"/>
          <w:docGrid w:type="lines" w:linePitch="332" w:charSpace="0"/>
        </w:sect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5"/>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表演时间</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7月1日起至8月31日止每周六、日各一场</w:t>
            </w:r>
            <w:r>
              <w:rPr>
                <w:rFonts w:hint="eastAsia" w:ascii="仿宋_GB2312" w:hAnsi="仿宋_GB2312" w:eastAsia="仿宋_GB2312" w:cs="仿宋_GB2312"/>
                <w:kern w:val="0"/>
                <w:sz w:val="32"/>
                <w:szCs w:val="32"/>
                <w:lang w:val="en-US" w:eastAsia="zh-CN"/>
              </w:rPr>
              <w:t>，每场一个半小时。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表演</w:t>
            </w:r>
            <w:r>
              <w:rPr>
                <w:rFonts w:hint="eastAsia" w:ascii="仿宋_GB2312" w:hAnsi="仿宋_GB2312" w:eastAsia="仿宋_GB2312" w:cs="仿宋_GB2312"/>
                <w:kern w:val="0"/>
                <w:sz w:val="32"/>
                <w:szCs w:val="32"/>
                <w:lang w:val="zh-CN"/>
              </w:rPr>
              <w:t>地点</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Times New Roman" w:hAnsi="Times New Roman" w:eastAsia="仿宋_GB2312" w:cs="Times New Roman"/>
                <w:sz w:val="32"/>
                <w:szCs w:val="32"/>
                <w:lang w:val="en-US" w:eastAsia="zh-CN"/>
              </w:rPr>
              <w:t>窦圌山景区</w:t>
            </w:r>
            <w:r>
              <w:rPr>
                <w:rFonts w:hint="default" w:ascii="Times New Roman" w:hAnsi="Times New Roman" w:eastAsia="仿宋_GB2312" w:cs="Times New Roman"/>
                <w:sz w:val="32"/>
                <w:szCs w:val="32"/>
                <w:lang w:val="en-US" w:eastAsia="zh-CN"/>
              </w:rPr>
              <w:t>民族风情演艺厅（蒙古包）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其他</w:t>
            </w:r>
          </w:p>
        </w:tc>
        <w:tc>
          <w:tcPr>
            <w:tcW w:w="5807"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eastAsia" w:ascii="黑体" w:hAnsi="黑体" w:eastAsia="黑体" w:cs="黑体"/>
          <w:b w:val="0"/>
          <w:bCs w:val="0"/>
          <w:sz w:val="32"/>
          <w:szCs w:val="32"/>
          <w:u w:val="none" w:color="auto"/>
          <w:lang w:eastAsia="zh-CN"/>
        </w:rPr>
      </w:pPr>
    </w:p>
    <w:p>
      <w:pPr>
        <w:pStyle w:val="3"/>
        <w:rPr>
          <w:rFonts w:hint="eastAsia" w:ascii="黑体" w:hAnsi="黑体" w:eastAsia="黑体" w:cs="黑体"/>
          <w:b w:val="0"/>
          <w:bCs w:val="0"/>
          <w:sz w:val="32"/>
          <w:szCs w:val="32"/>
          <w:u w:val="none" w:color="auto"/>
          <w:lang w:eastAsia="zh-CN"/>
        </w:rPr>
      </w:pPr>
    </w:p>
    <w:p>
      <w:pPr>
        <w:pStyle w:val="3"/>
        <w:rPr>
          <w:rFonts w:hint="eastAsia"/>
          <w:lang w:eastAsia="zh-CN"/>
        </w:rPr>
      </w:pPr>
    </w:p>
    <w:p>
      <w:pPr>
        <w:rPr>
          <w:rFonts w:hint="eastAsia"/>
          <w:lang w:eastAsia="zh-CN"/>
        </w:rPr>
      </w:pPr>
    </w:p>
    <w:p>
      <w:pPr>
        <w:pStyle w:val="5"/>
        <w:rPr>
          <w:rFonts w:hint="eastAsia"/>
          <w:lang w:eastAsia="zh-CN"/>
        </w:rPr>
      </w:pPr>
    </w:p>
    <w:p>
      <w:pPr>
        <w:rPr>
          <w:rFonts w:hint="eastAsia"/>
          <w:lang w:eastAsia="zh-CN"/>
        </w:rPr>
      </w:pPr>
    </w:p>
    <w:p>
      <w:pPr>
        <w:pStyle w:val="5"/>
        <w:rPr>
          <w:rFonts w:hint="eastAsia"/>
          <w:lang w:eastAsia="zh-CN"/>
        </w:rPr>
      </w:pPr>
    </w:p>
    <w:p>
      <w:pPr>
        <w:rPr>
          <w:rFonts w:hint="eastAsia"/>
          <w:lang w:eastAsia="zh-CN"/>
        </w:rPr>
      </w:pPr>
    </w:p>
    <w:p>
      <w:pPr>
        <w:pStyle w:val="5"/>
        <w:rPr>
          <w:rFonts w:hint="eastAsia"/>
          <w:lang w:eastAsia="zh-CN"/>
        </w:rPr>
      </w:pPr>
    </w:p>
    <w:p>
      <w:pPr>
        <w:rPr>
          <w:rFonts w:hint="eastAsia"/>
          <w:lang w:eastAsia="zh-CN"/>
        </w:rPr>
      </w:pPr>
    </w:p>
    <w:p>
      <w:pPr>
        <w:rPr>
          <w:rFonts w:hint="eastAsia"/>
          <w:lang w:eastAsia="zh-CN"/>
        </w:rPr>
      </w:pPr>
    </w:p>
    <w:p>
      <w:pPr>
        <w:pStyle w:val="5"/>
        <w:rPr>
          <w:rFonts w:hint="eastAsia"/>
          <w:lang w:eastAsia="zh-CN"/>
        </w:rPr>
      </w:pPr>
    </w:p>
    <w:p>
      <w:pPr>
        <w:rPr>
          <w:rFonts w:hint="eastAsia"/>
          <w:lang w:eastAsia="zh-CN"/>
        </w:rPr>
      </w:pPr>
    </w:p>
    <w:p>
      <w:pPr>
        <w:pStyle w:val="5"/>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奇峰酒店演艺增值服务项目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我方全面研究了“奇峰酒店演艺增值服务项目 ”，决定参加贵单位组织的本次比选，并自觉遵守采购相关规定，遵守采购规则，维护正常的采购秩序。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3"/>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p>
      <w:pPr>
        <w:pStyle w:val="5"/>
        <w:ind w:left="0" w:leftChars="0" w:firstLine="0" w:firstLineChars="0"/>
        <w:jc w:val="center"/>
        <w:rPr>
          <w:rFonts w:hint="default"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演艺方案明细表</w:t>
      </w:r>
      <w:bookmarkStart w:id="1" w:name="_GoBack"/>
      <w:bookmarkEnd w:id="1"/>
    </w:p>
    <w:tbl>
      <w:tblPr>
        <w:tblStyle w:val="6"/>
        <w:tblW w:w="13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3"/>
        <w:gridCol w:w="1722"/>
        <w:gridCol w:w="1158"/>
        <w:gridCol w:w="2027"/>
        <w:gridCol w:w="1890"/>
        <w:gridCol w:w="2895"/>
        <w:gridCol w:w="1215"/>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奇峰酒店活动方案（每周两场）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周六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表演人员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表演内容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表演时长（分钟）</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演员介绍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魔术+主持人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&lt;《魔手神彩》</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变脸（吐火）</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&lt;&lt;变脸吐火&gt;&gt;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欢乐小丑</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小丑</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&lt;&lt;笨笨和壮壮&gt;&gt;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唱歌</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歌手</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2-3首歌</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二人转</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&lt;&lt;贯口&gt;&gt;《绝活》</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总费用</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15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说明：整场活动主持由魔术师（1人）衔接，变脸1人，欢乐小丑1人，职业歌手1人，二人转2人，共计6人。</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周日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表演人员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表演内容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表演时长</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演员介绍</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人数（人）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泡泡秀+主持人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主持人</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&lt;&lt;梦幻泡泡秀&gt;&gt;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杂技+中江表妹</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演员</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&lt;&lt;中江表妹&gt;&gt;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欢乐小丑</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小丑1</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&lt;&lt;气球达人&gt;&gt;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科学秀展示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青羊</w:t>
            </w: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&lt;&lt;火纸&gt;&gt;</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总费用</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说明：整场活动主持人1人（主持＋泡泡秀），杂技1人，小丑1人，科学秀1人，共计四人。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3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2"/>
                <w:szCs w:val="22"/>
                <w:u w:val="none"/>
              </w:rPr>
            </w:pPr>
            <w:r>
              <w:rPr>
                <w:rFonts w:hint="eastAsia" w:ascii="宋体" w:hAnsi="宋体" w:eastAsia="宋体" w:cs="宋体"/>
                <w:b/>
                <w:bCs/>
                <w:i w:val="0"/>
                <w:iCs w:val="0"/>
                <w:color w:val="FF0000"/>
                <w:kern w:val="0"/>
                <w:sz w:val="22"/>
                <w:szCs w:val="22"/>
                <w:u w:val="none"/>
                <w:lang w:val="en-US" w:eastAsia="zh-CN" w:bidi="ar"/>
              </w:rPr>
              <w:t>注：7月至8月预计9个周末，合计金额约：（？？？+？？？）*9=？？？元</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3"/>
        <w:rPr>
          <w:rFonts w:hint="default"/>
          <w:lang w:val="en-US" w:eastAsia="zh-CN"/>
        </w:rPr>
      </w:pPr>
    </w:p>
    <w:p>
      <w:pPr>
        <w:pStyle w:val="3"/>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sectPr>
          <w:pgSz w:w="16838" w:h="11906" w:orient="landscape"/>
          <w:pgMar w:top="1803" w:right="1440" w:bottom="1803" w:left="1440" w:header="851" w:footer="992" w:gutter="0"/>
          <w:cols w:space="0" w:num="1"/>
          <w:rtlGutter w:val="0"/>
          <w:docGrid w:type="lines" w:linePitch="332" w:charSpace="0"/>
        </w:sect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4"/>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ascii="仿宋_GB2312" w:hAnsi="仿宋_GB2312" w:eastAsia="仿宋_GB2312" w:cs="仿宋_GB2312"/>
                <w:kern w:val="0"/>
                <w:sz w:val="32"/>
                <w:szCs w:val="32"/>
                <w:lang w:val="en-US" w:eastAsia="zh-CN"/>
              </w:rPr>
              <w:t>表演时间</w:t>
            </w:r>
          </w:p>
        </w:tc>
        <w:tc>
          <w:tcPr>
            <w:tcW w:w="3450"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ind w:left="0" w:leftChars="0" w:right="0" w:rightChars="0" w:firstLine="0" w:firstLineChars="0"/>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仿宋_GB2312" w:hAnsi="仿宋_GB2312" w:eastAsia="仿宋_GB2312" w:cs="仿宋_GB2312"/>
                <w:kern w:val="0"/>
                <w:sz w:val="32"/>
                <w:szCs w:val="32"/>
                <w:lang w:val="en-US" w:eastAsia="zh-CN"/>
              </w:rPr>
              <w:t>7月1日起至8月31日止每周六、日各一场</w:t>
            </w:r>
            <w:r>
              <w:rPr>
                <w:rFonts w:hint="eastAsia" w:ascii="仿宋_GB2312" w:hAnsi="仿宋_GB2312" w:eastAsia="仿宋_GB2312" w:cs="仿宋_GB2312"/>
                <w:kern w:val="0"/>
                <w:sz w:val="32"/>
                <w:szCs w:val="32"/>
                <w:lang w:val="en-US" w:eastAsia="zh-CN"/>
              </w:rPr>
              <w:t>，每场一个半小时。</w:t>
            </w:r>
          </w:p>
        </w:tc>
        <w:tc>
          <w:tcPr>
            <w:tcW w:w="166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仿宋_GB2312" w:hAnsi="仿宋_GB2312" w:eastAsia="仿宋_GB2312" w:cs="仿宋_GB2312"/>
                <w:kern w:val="0"/>
                <w:sz w:val="32"/>
                <w:szCs w:val="32"/>
                <w:lang w:val="en-US" w:eastAsia="zh-CN"/>
              </w:rPr>
              <w:t>表演</w:t>
            </w:r>
            <w:r>
              <w:rPr>
                <w:rFonts w:hint="eastAsia" w:ascii="仿宋_GB2312" w:hAnsi="仿宋_GB2312" w:eastAsia="仿宋_GB2312" w:cs="仿宋_GB2312"/>
                <w:kern w:val="0"/>
                <w:sz w:val="32"/>
                <w:szCs w:val="32"/>
                <w:lang w:val="zh-CN"/>
              </w:rPr>
              <w:t>地点</w:t>
            </w:r>
          </w:p>
        </w:tc>
        <w:tc>
          <w:tcPr>
            <w:tcW w:w="3450"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Times New Roman" w:hAnsi="Times New Roman" w:eastAsia="仿宋_GB2312" w:cs="Times New Roman"/>
                <w:sz w:val="32"/>
                <w:szCs w:val="32"/>
                <w:lang w:val="en-US" w:eastAsia="zh-CN"/>
              </w:rPr>
              <w:t>窦圌山景区</w:t>
            </w:r>
            <w:r>
              <w:rPr>
                <w:rFonts w:hint="default" w:ascii="Times New Roman" w:hAnsi="Times New Roman" w:eastAsia="仿宋_GB2312" w:cs="Times New Roman"/>
                <w:sz w:val="32"/>
                <w:szCs w:val="32"/>
                <w:lang w:val="en-US" w:eastAsia="zh-CN"/>
              </w:rPr>
              <w:t>民族风情演艺厅（蒙古包）</w:t>
            </w:r>
          </w:p>
        </w:tc>
        <w:tc>
          <w:tcPr>
            <w:tcW w:w="166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仿宋_GB2312" w:hAnsi="仿宋_GB2312" w:eastAsia="仿宋_GB2312" w:cs="仿宋_GB2312"/>
                <w:kern w:val="0"/>
                <w:sz w:val="32"/>
                <w:szCs w:val="32"/>
                <w:lang w:val="zh-CN"/>
              </w:rPr>
              <w:t>款项支付方式、进度</w:t>
            </w:r>
          </w:p>
        </w:tc>
        <w:tc>
          <w:tcPr>
            <w:tcW w:w="3450"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仿宋_GB2312" w:hAnsi="仿宋_GB2312" w:eastAsia="仿宋_GB2312" w:cs="仿宋_GB2312"/>
                <w:kern w:val="0"/>
                <w:sz w:val="32"/>
                <w:szCs w:val="32"/>
                <w:lang w:val="en-US" w:eastAsia="zh-CN"/>
              </w:rPr>
              <w:t>详见附件8：合同主要条款</w:t>
            </w:r>
          </w:p>
        </w:tc>
        <w:tc>
          <w:tcPr>
            <w:tcW w:w="166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2669"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color w:val="auto"/>
                <w:spacing w:val="0"/>
                <w:w w:val="100"/>
                <w:position w:val="0"/>
                <w:sz w:val="28"/>
                <w:szCs w:val="28"/>
                <w:u w:val="none" w:color="auto"/>
                <w:shd w:val="clear" w:color="auto" w:fill="auto"/>
                <w:lang w:val="en-US" w:eastAsia="zh-CN" w:bidi="en-US"/>
              </w:rPr>
            </w:pPr>
          </w:p>
        </w:tc>
        <w:tc>
          <w:tcPr>
            <w:tcW w:w="3450" w:type="dxa"/>
            <w:noWrap w:val="0"/>
            <w:vAlign w:val="center"/>
          </w:tcPr>
          <w:p>
            <w:pPr>
              <w:shd w:val="clear" w:color="auto" w:fill="auto"/>
              <w:adjustRightInd w:val="0"/>
              <w:spacing w:line="320" w:lineRule="exact"/>
              <w:ind w:left="0" w:leftChars="0" w:right="0" w:rightChars="0" w:firstLine="0" w:firstLineChars="0"/>
              <w:rPr>
                <w:rFonts w:hint="eastAsia" w:ascii="宋体" w:hAnsi="宋体" w:eastAsia="宋体" w:cs="宋体"/>
                <w:color w:val="auto"/>
                <w:spacing w:val="0"/>
                <w:w w:val="100"/>
                <w:position w:val="0"/>
                <w:sz w:val="28"/>
                <w:szCs w:val="28"/>
                <w:u w:val="none" w:color="auto"/>
                <w:shd w:val="clear" w:color="auto" w:fill="auto"/>
                <w:lang w:val="en-US" w:eastAsia="zh-CN" w:bidi="en-US"/>
              </w:rPr>
            </w:pPr>
          </w:p>
        </w:tc>
        <w:tc>
          <w:tcPr>
            <w:tcW w:w="166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5"/>
        <w:rPr>
          <w:rFonts w:hint="eastAsia"/>
        </w:rPr>
      </w:pPr>
    </w:p>
    <w:p>
      <w:pPr>
        <w:rPr>
          <w:rFonts w:hint="eastAsia"/>
        </w:rPr>
      </w:pPr>
    </w:p>
    <w:p>
      <w:pPr>
        <w:pStyle w:val="5"/>
        <w:rPr>
          <w:rFonts w:hint="eastAsia"/>
        </w:rPr>
      </w:pPr>
    </w:p>
    <w:p>
      <w:pPr>
        <w:rPr>
          <w:rFonts w:hint="eastAsia"/>
        </w:rPr>
      </w:pPr>
    </w:p>
    <w:p>
      <w:pPr>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5"/>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“奇峰酒店演艺增值服务项目”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附件7：合同主要条款</w:t>
      </w:r>
    </w:p>
    <w:p>
      <w:pPr>
        <w:pStyle w:val="2"/>
        <w:pageBreakBefore w:val="0"/>
        <w:widowControl w:val="0"/>
        <w:kinsoku/>
        <w:wordWrap/>
        <w:overflowPunct/>
        <w:topLinePunct w:val="0"/>
        <w:autoSpaceDE/>
        <w:autoSpaceDN/>
        <w:bidi w:val="0"/>
        <w:adjustRightInd/>
        <w:snapToGrid/>
        <w:spacing w:line="560" w:lineRule="exact"/>
        <w:ind w:firstLine="720" w:firstLineChars="200"/>
        <w:jc w:val="center"/>
        <w:textAlignment w:val="auto"/>
        <w:rPr>
          <w:rFonts w:hint="default" w:ascii="Times New Roman" w:hAnsi="Times New Roman" w:cs="Times New Roman"/>
          <w:color w:val="000000" w:themeColor="text1"/>
          <w:sz w:val="36"/>
          <w:szCs w:val="36"/>
          <w:lang w:val="en-US"/>
          <w14:textFill>
            <w14:solidFill>
              <w14:schemeClr w14:val="tx1"/>
            </w14:solidFill>
          </w14:textFill>
        </w:rPr>
      </w:pPr>
      <w:r>
        <w:rPr>
          <w:rFonts w:hint="default" w:ascii="Times New Roman" w:hAnsi="Times New Roman" w:cs="Times New Roman"/>
          <w:color w:val="000000" w:themeColor="text1"/>
          <w:sz w:val="36"/>
          <w:szCs w:val="36"/>
          <w:lang w:val="en-US" w:eastAsia="zh-CN"/>
          <w14:textFill>
            <w14:solidFill>
              <w14:schemeClr w14:val="tx1"/>
            </w14:solidFill>
          </w14:textFill>
        </w:rPr>
        <w:t>演</w:t>
      </w:r>
      <w:r>
        <w:rPr>
          <w:rFonts w:hint="eastAsia"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cs="Times New Roman"/>
          <w:color w:val="000000" w:themeColor="text1"/>
          <w:sz w:val="36"/>
          <w:szCs w:val="36"/>
          <w:lang w:val="en-US" w:eastAsia="zh-CN"/>
          <w14:textFill>
            <w14:solidFill>
              <w14:schemeClr w14:val="tx1"/>
            </w14:solidFill>
          </w14:textFill>
        </w:rPr>
        <w:t>出</w:t>
      </w:r>
      <w:r>
        <w:rPr>
          <w:rFonts w:hint="eastAsia"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cs="Times New Roman"/>
          <w:color w:val="000000" w:themeColor="text1"/>
          <w:sz w:val="36"/>
          <w:szCs w:val="36"/>
          <w:lang w:val="en-US" w:eastAsia="zh-CN"/>
          <w14:textFill>
            <w14:solidFill>
              <w14:schemeClr w14:val="tx1"/>
            </w14:solidFill>
          </w14:textFill>
        </w:rPr>
        <w:t>协</w:t>
      </w:r>
      <w:r>
        <w:rPr>
          <w:rFonts w:hint="eastAsia"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cs="Times New Roman"/>
          <w:color w:val="000000" w:themeColor="text1"/>
          <w:sz w:val="36"/>
          <w:szCs w:val="36"/>
          <w:lang w:val="en-US" w:eastAsia="zh-CN"/>
          <w14:textFill>
            <w14:solidFill>
              <w14:schemeClr w14:val="tx1"/>
            </w14:solidFill>
          </w14:textFill>
        </w:rPr>
        <w:t>议</w:t>
      </w:r>
    </w:p>
    <w:p>
      <w:pPr>
        <w:pageBreakBefore w:val="0"/>
        <w:widowControl w:val="0"/>
        <w:kinsoku/>
        <w:wordWrap/>
        <w:overflowPunct/>
        <w:topLinePunct w:val="0"/>
        <w:autoSpaceDE/>
        <w:autoSpaceDN/>
        <w:bidi w:val="0"/>
        <w:adjustRightInd/>
        <w:snapToGrid/>
        <w:spacing w:before="156" w:beforeLines="50" w:line="560" w:lineRule="exact"/>
        <w:ind w:firstLine="482" w:firstLineChars="200"/>
        <w:textAlignment w:val="auto"/>
        <w:rPr>
          <w:rFonts w:hint="default" w:ascii="Times New Roman" w:hAnsi="Times New Roman" w:eastAsia="仿宋" w:cs="Times New Roman"/>
          <w:b/>
          <w:color w:val="000000" w:themeColor="text1"/>
          <w:sz w:val="24"/>
          <w:szCs w:val="24"/>
          <w:u w:val="single"/>
          <w:lang w:val="en-US" w:eastAsia="zh-CN"/>
          <w14:textFill>
            <w14:solidFill>
              <w14:schemeClr w14:val="tx1"/>
            </w14:solidFill>
          </w14:textFill>
        </w:rPr>
      </w:pPr>
      <w:r>
        <w:rPr>
          <w:rFonts w:hint="default" w:ascii="Times New Roman" w:hAnsi="Times New Roman" w:eastAsia="仿宋" w:cs="Times New Roman"/>
          <w:b/>
          <w:color w:val="000000" w:themeColor="text1"/>
          <w:sz w:val="24"/>
          <w:szCs w:val="24"/>
          <w14:textFill>
            <w14:solidFill>
              <w14:schemeClr w14:val="tx1"/>
            </w14:solidFill>
          </w14:textFill>
        </w:rPr>
        <w:t>甲方：</w:t>
      </w:r>
      <w:r>
        <w:rPr>
          <w:rFonts w:hint="default" w:ascii="Times New Roman" w:hAnsi="Times New Roman" w:eastAsia="仿宋" w:cs="Times New Roman"/>
          <w:b/>
          <w:color w:val="000000" w:themeColor="text1"/>
          <w:sz w:val="24"/>
          <w:szCs w:val="24"/>
          <w:lang w:val="en-US" w:eastAsia="zh-CN"/>
          <w14:textFill>
            <w14:solidFill>
              <w14:schemeClr w14:val="tx1"/>
            </w14:solidFill>
          </w14:textFill>
        </w:rPr>
        <w:t>四川江油画屏尚景景区管理有限责任公司</w:t>
      </w:r>
    </w:p>
    <w:p>
      <w:pPr>
        <w:pageBreakBefore w:val="0"/>
        <w:widowControl w:val="0"/>
        <w:kinsoku/>
        <w:wordWrap/>
        <w:overflowPunct/>
        <w:topLinePunct w:val="0"/>
        <w:autoSpaceDE/>
        <w:autoSpaceDN/>
        <w:bidi w:val="0"/>
        <w:adjustRightInd/>
        <w:snapToGrid/>
        <w:spacing w:before="156" w:beforeLines="50" w:line="560" w:lineRule="exact"/>
        <w:ind w:firstLine="482" w:firstLineChars="200"/>
        <w:textAlignment w:val="auto"/>
        <w:rPr>
          <w:rFonts w:hint="default" w:ascii="Times New Roman" w:hAnsi="Times New Roman" w:eastAsia="仿宋" w:cs="Times New Roman"/>
          <w:b/>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b/>
          <w:color w:val="000000" w:themeColor="text1"/>
          <w:sz w:val="24"/>
          <w:szCs w:val="24"/>
          <w:lang w:val="en-US" w:eastAsia="zh-CN"/>
          <w14:textFill>
            <w14:solidFill>
              <w14:schemeClr w14:val="tx1"/>
            </w14:solidFill>
          </w14:textFill>
        </w:rPr>
        <w:t>社会信用代码</w:t>
      </w:r>
      <w:r>
        <w:rPr>
          <w:rFonts w:hint="default" w:ascii="Times New Roman" w:hAnsi="Times New Roman" w:eastAsia="仿宋" w:cs="Times New Roman"/>
          <w:b/>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adjustRightInd/>
        <w:snapToGrid/>
        <w:spacing w:before="156" w:beforeLines="50" w:line="560" w:lineRule="exact"/>
        <w:ind w:firstLine="482" w:firstLineChars="200"/>
        <w:jc w:val="left"/>
        <w:textAlignment w:val="auto"/>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b/>
          <w:color w:val="000000" w:themeColor="text1"/>
          <w:sz w:val="24"/>
          <w:szCs w:val="24"/>
          <w14:textFill>
            <w14:solidFill>
              <w14:schemeClr w14:val="tx1"/>
            </w14:solidFill>
          </w14:textFill>
        </w:rPr>
        <w:t>乙方：</w:t>
      </w:r>
      <w:r>
        <w:rPr>
          <w:rFonts w:hint="default" w:ascii="Times New Roman" w:hAnsi="Times New Roman" w:eastAsia="仿宋" w:cs="Times New Roman"/>
          <w:b/>
          <w:color w:val="000000" w:themeColor="text1"/>
          <w:sz w:val="24"/>
          <w:szCs w:val="24"/>
          <w:u w:val="none"/>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before="156" w:beforeLines="50" w:line="560" w:lineRule="exact"/>
        <w:ind w:firstLine="482" w:firstLineChars="200"/>
        <w:textAlignment w:val="auto"/>
        <w:rPr>
          <w:rFonts w:hint="default" w:ascii="Times New Roman" w:hAnsi="Times New Roman" w:eastAsia="仿宋" w:cs="Times New Roman"/>
          <w:b/>
          <w:color w:val="000000" w:themeColor="text1"/>
          <w:sz w:val="24"/>
          <w:szCs w:val="24"/>
          <w:highlight w:val="yellow"/>
          <w:lang w:val="en-US" w:eastAsia="zh-CN"/>
          <w14:textFill>
            <w14:solidFill>
              <w14:schemeClr w14:val="tx1"/>
            </w14:solidFill>
          </w14:textFill>
        </w:rPr>
      </w:pPr>
      <w:r>
        <w:rPr>
          <w:rFonts w:hint="default" w:ascii="Times New Roman" w:hAnsi="Times New Roman" w:eastAsia="仿宋" w:cs="Times New Roman"/>
          <w:b/>
          <w:color w:val="000000" w:themeColor="text1"/>
          <w:sz w:val="24"/>
          <w:szCs w:val="24"/>
          <w:lang w:val="en-US" w:eastAsia="zh-CN"/>
          <w14:textFill>
            <w14:solidFill>
              <w14:schemeClr w14:val="tx1"/>
            </w14:solidFill>
          </w14:textFill>
        </w:rPr>
        <w:t>社会信用代码</w:t>
      </w:r>
      <w:r>
        <w:rPr>
          <w:rFonts w:hint="default" w:ascii="Times New Roman" w:hAnsi="Times New Roman" w:eastAsia="仿宋" w:cs="Times New Roman"/>
          <w:b/>
          <w:color w:val="000000" w:themeColor="text1"/>
          <w:sz w:val="24"/>
          <w:szCs w:val="24"/>
          <w14:textFill>
            <w14:solidFill>
              <w14:schemeClr w14:val="tx1"/>
            </w14:solidFill>
          </w14:textFill>
        </w:rPr>
        <w:t>：</w:t>
      </w:r>
      <w:r>
        <w:rPr>
          <w:rFonts w:hint="default" w:ascii="Times New Roman" w:hAnsi="Times New Roman" w:eastAsia="仿宋" w:cs="Times New Roman"/>
          <w:b/>
          <w:color w:val="000000" w:themeColor="text1"/>
          <w:sz w:val="24"/>
          <w:szCs w:val="24"/>
          <w:u w:val="none"/>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甲、乙双方根据《中华人民共和国民法典》、《中华人民共和国广告法》及相关法律法规的规定，在平等自愿、公平公正的基础上，本着互惠互利的原则，经友好协商，就乙方承揽（包括但不限于策划、组织、实施等）甲方</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向游客提供演艺表演服务的</w:t>
      </w:r>
      <w:r>
        <w:rPr>
          <w:rFonts w:hint="default" w:ascii="Times New Roman" w:hAnsi="Times New Roman" w:eastAsia="仿宋_GB2312" w:cs="Times New Roman"/>
          <w:color w:val="000000" w:themeColor="text1"/>
          <w:sz w:val="24"/>
          <w:szCs w:val="24"/>
          <w14:textFill>
            <w14:solidFill>
              <w14:schemeClr w14:val="tx1"/>
            </w14:solidFill>
          </w14:textFill>
        </w:rPr>
        <w:t>有关事宜，特签订本合同，以资共同遵守。</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第一部分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一、</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演出</w:t>
      </w:r>
      <w:r>
        <w:rPr>
          <w:rFonts w:hint="default" w:ascii="Times New Roman" w:hAnsi="Times New Roman" w:eastAsia="仿宋_GB2312" w:cs="Times New Roman"/>
          <w:color w:val="000000" w:themeColor="text1"/>
          <w:sz w:val="24"/>
          <w:szCs w:val="24"/>
          <w14:textFill>
            <w14:solidFill>
              <w14:schemeClr w14:val="tx1"/>
            </w14:solidFill>
          </w14:textFill>
        </w:rPr>
        <w:t>内容、时间、地点</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w:t>
      </w:r>
      <w:r>
        <w:rPr>
          <w:rFonts w:hint="default" w:ascii="Times New Roman" w:hAnsi="Times New Roman" w:eastAsia="仿宋_GB2312" w:cs="Times New Roman"/>
          <w:color w:val="000000" w:themeColor="text1"/>
          <w:sz w:val="24"/>
          <w:szCs w:val="24"/>
          <w14:textFill>
            <w14:solidFill>
              <w14:schemeClr w14:val="tx1"/>
            </w14:solidFill>
          </w14:textFill>
        </w:rPr>
        <w:t>、正式演出时间：</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2024年7月</w:t>
      </w:r>
      <w:r>
        <w:rPr>
          <w:rFonts w:hint="eastAsia" w:eastAsia="仿宋_GB2312" w:cs="Times New Roman"/>
          <w:color w:val="000000" w:themeColor="text1"/>
          <w:sz w:val="24"/>
          <w:szCs w:val="24"/>
          <w:lang w:val="en-US" w:eastAsia="zh-CN"/>
          <w14:textFill>
            <w14:solidFill>
              <w14:schemeClr w14:val="tx1"/>
            </w14:solidFill>
          </w14:textFill>
        </w:rPr>
        <w:t>6日起</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至2024年8月</w:t>
      </w:r>
      <w:r>
        <w:rPr>
          <w:rFonts w:hint="eastAsia" w:eastAsia="仿宋_GB2312" w:cs="Times New Roman"/>
          <w:color w:val="000000" w:themeColor="text1"/>
          <w:sz w:val="24"/>
          <w:szCs w:val="24"/>
          <w:lang w:val="en-US" w:eastAsia="zh-CN"/>
          <w14:textFill>
            <w14:solidFill>
              <w14:schemeClr w14:val="tx1"/>
            </w14:solidFill>
          </w14:textFill>
        </w:rPr>
        <w:t>31日止</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（周六、周日</w:t>
      </w:r>
      <w:r>
        <w:rPr>
          <w:rFonts w:hint="eastAsia" w:eastAsia="仿宋_GB2312" w:cs="Times New Roman"/>
          <w:color w:val="000000" w:themeColor="text1"/>
          <w:sz w:val="24"/>
          <w:szCs w:val="24"/>
          <w:lang w:val="en-US" w:eastAsia="zh-CN"/>
          <w14:textFill>
            <w14:solidFill>
              <w14:schemeClr w14:val="tx1"/>
            </w14:solidFill>
          </w14:textFill>
        </w:rPr>
        <w:t>各一场</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w:t>
      </w:r>
      <w:r>
        <w:rPr>
          <w:rFonts w:hint="eastAsia" w:eastAsia="仿宋_GB2312" w:cs="Times New Roman"/>
          <w:color w:val="000000" w:themeColor="text1"/>
          <w:sz w:val="24"/>
          <w:szCs w:val="24"/>
          <w:lang w:val="en-US" w:eastAsia="zh-CN"/>
          <w14:textFill>
            <w14:solidFill>
              <w14:schemeClr w14:val="tx1"/>
            </w14:solidFill>
          </w14:textFill>
        </w:rPr>
        <w:t>表演时长：一个半小时（</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20:00-21:30暂定）</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2</w:t>
      </w:r>
      <w:r>
        <w:rPr>
          <w:rFonts w:hint="default" w:ascii="Times New Roman" w:hAnsi="Times New Roman" w:eastAsia="仿宋_GB2312" w:cs="Times New Roman"/>
          <w:color w:val="000000" w:themeColor="text1"/>
          <w:sz w:val="24"/>
          <w:szCs w:val="24"/>
          <w14:textFill>
            <w14:solidFill>
              <w14:schemeClr w14:val="tx1"/>
            </w14:solidFill>
          </w14:textFill>
        </w:rPr>
        <w:t>、演出地点：</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江油</w:t>
      </w:r>
      <w:r>
        <w:rPr>
          <w:rFonts w:hint="eastAsia" w:eastAsia="仿宋_GB2312" w:cs="Times New Roman"/>
          <w:color w:val="000000" w:themeColor="text1"/>
          <w:sz w:val="24"/>
          <w:szCs w:val="24"/>
          <w:lang w:val="en-US" w:eastAsia="zh-CN"/>
          <w14:textFill>
            <w14:solidFill>
              <w14:schemeClr w14:val="tx1"/>
            </w14:solidFill>
          </w14:textFill>
        </w:rPr>
        <w:t>市</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窦圌山景区</w:t>
      </w:r>
      <w:r>
        <w:rPr>
          <w:rFonts w:hint="eastAsia" w:eastAsia="仿宋_GB2312" w:cs="Times New Roman"/>
          <w:color w:val="000000" w:themeColor="text1"/>
          <w:sz w:val="24"/>
          <w:szCs w:val="24"/>
          <w:lang w:val="en-US" w:eastAsia="zh-CN"/>
          <w14:textFill>
            <w14:solidFill>
              <w14:schemeClr w14:val="tx1"/>
            </w14:solidFill>
          </w14:textFill>
        </w:rPr>
        <w:t>内</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民族风情表演厅（蒙古包）</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3、演出</w:t>
      </w:r>
      <w:r>
        <w:rPr>
          <w:rFonts w:hint="eastAsia" w:eastAsia="仿宋_GB2312" w:cs="Times New Roman"/>
          <w:color w:val="000000" w:themeColor="text1"/>
          <w:sz w:val="24"/>
          <w:szCs w:val="24"/>
          <w:lang w:val="en-US" w:eastAsia="zh-CN"/>
          <w14:textFill>
            <w14:solidFill>
              <w14:schemeClr w14:val="tx1"/>
            </w14:solidFill>
          </w14:textFill>
        </w:rPr>
        <w:t>形式</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w:t>
      </w:r>
      <w:r>
        <w:rPr>
          <w:rFonts w:hint="eastAsia" w:eastAsia="仿宋_GB2312" w:cs="Times New Roman"/>
          <w:color w:val="000000" w:themeColor="text1"/>
          <w:sz w:val="24"/>
          <w:szCs w:val="24"/>
          <w:lang w:val="en-US" w:eastAsia="zh-CN"/>
          <w14:textFill>
            <w14:solidFill>
              <w14:schemeClr w14:val="tx1"/>
            </w14:solidFill>
          </w14:textFill>
        </w:rPr>
        <w:t>歌曲、舞蹈、传统艺术、魔术等，每场穿插进行表演</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二、</w:t>
      </w:r>
      <w:r>
        <w:rPr>
          <w:rFonts w:hint="eastAsia" w:eastAsia="仿宋_GB2312" w:cs="Times New Roman"/>
          <w:color w:val="000000" w:themeColor="text1"/>
          <w:sz w:val="24"/>
          <w:szCs w:val="24"/>
          <w:lang w:val="en-US" w:eastAsia="zh-CN"/>
          <w14:textFill>
            <w14:solidFill>
              <w14:schemeClr w14:val="tx1"/>
            </w14:solidFill>
          </w14:textFill>
        </w:rPr>
        <w:t>演出费用预算</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w:t>
      </w:r>
      <w:r>
        <w:rPr>
          <w:rFonts w:hint="default" w:ascii="Times New Roman" w:hAnsi="Times New Roman" w:eastAsia="仿宋_GB2312" w:cs="Times New Roman"/>
          <w:color w:val="000000" w:themeColor="text1"/>
          <w:sz w:val="24"/>
          <w:szCs w:val="24"/>
          <w14:textFill>
            <w14:solidFill>
              <w14:schemeClr w14:val="tx1"/>
            </w14:solidFill>
          </w14:textFill>
        </w:rPr>
        <w:t>本合同费用总额</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预估</w:t>
      </w:r>
      <w:r>
        <w:rPr>
          <w:rFonts w:hint="default" w:ascii="Times New Roman" w:hAnsi="Times New Roman" w:eastAsia="仿宋_GB2312" w:cs="Times New Roman"/>
          <w:color w:val="000000" w:themeColor="text1"/>
          <w:sz w:val="24"/>
          <w:szCs w:val="24"/>
          <w14:textFill>
            <w14:solidFill>
              <w14:schemeClr w14:val="tx1"/>
            </w14:solidFill>
          </w14:textFill>
        </w:rPr>
        <w:t>为</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元（大写：</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元整）</w:t>
      </w:r>
      <w:r>
        <w:rPr>
          <w:rFonts w:hint="eastAsia" w:eastAsia="仿宋_GB2312" w:cs="Times New Roman"/>
          <w:color w:val="000000" w:themeColor="text1"/>
          <w:sz w:val="24"/>
          <w:szCs w:val="24"/>
          <w:lang w:val="en-US" w:eastAsia="zh-Hans"/>
          <w14:textFill>
            <w14:solidFill>
              <w14:schemeClr w14:val="tx1"/>
            </w14:solidFill>
          </w14:textFill>
        </w:rPr>
        <w:t>，含税，税率为</w:t>
      </w:r>
      <w:r>
        <w:rPr>
          <w:rFonts w:hint="default" w:eastAsia="仿宋_GB2312" w:cs="Times New Roman"/>
          <w:color w:val="000000" w:themeColor="text1"/>
          <w:sz w:val="24"/>
          <w:szCs w:val="24"/>
          <w:lang w:eastAsia="zh-Hans"/>
          <w14:textFill>
            <w14:solidFill>
              <w14:schemeClr w14:val="tx1"/>
            </w14:solidFill>
          </w14:textFill>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0"/>
        <w:gridCol w:w="1745"/>
        <w:gridCol w:w="1457"/>
        <w:gridCol w:w="1280"/>
        <w:gridCol w:w="1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3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内容</w:t>
            </w:r>
          </w:p>
        </w:tc>
        <w:tc>
          <w:tcPr>
            <w:tcW w:w="17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表演时长（分钟）</w:t>
            </w:r>
          </w:p>
        </w:tc>
        <w:tc>
          <w:tcPr>
            <w:tcW w:w="150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单价/天</w:t>
            </w:r>
          </w:p>
        </w:tc>
        <w:tc>
          <w:tcPr>
            <w:tcW w:w="1317"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表演天数</w:t>
            </w:r>
          </w:p>
        </w:tc>
        <w:tc>
          <w:tcPr>
            <w:tcW w:w="175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3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歌曲、舞蹈等</w:t>
            </w:r>
          </w:p>
        </w:tc>
        <w:tc>
          <w:tcPr>
            <w:tcW w:w="17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90</w:t>
            </w:r>
          </w:p>
        </w:tc>
        <w:tc>
          <w:tcPr>
            <w:tcW w:w="150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p>
        </w:tc>
        <w:tc>
          <w:tcPr>
            <w:tcW w:w="1317"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r>
              <w:rPr>
                <w:rFonts w:hint="eastAsia" w:eastAsia="仿宋_GB2312" w:cs="Times New Roman"/>
                <w:color w:val="000000" w:themeColor="text1"/>
                <w:sz w:val="21"/>
                <w:szCs w:val="21"/>
                <w:vertAlign w:val="baseline"/>
                <w:lang w:val="en-US" w:eastAsia="zh-CN"/>
                <w14:textFill>
                  <w14:solidFill>
                    <w14:schemeClr w14:val="tx1"/>
                  </w14:solidFill>
                </w14:textFill>
              </w:rPr>
              <w:t>9</w:t>
            </w:r>
          </w:p>
        </w:tc>
        <w:tc>
          <w:tcPr>
            <w:tcW w:w="175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3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2"/>
                <w:szCs w:val="22"/>
                <w:vertAlign w:val="baseline"/>
                <w:lang w:val="en-US" w:eastAsia="zh-CN"/>
                <w14:textFill>
                  <w14:solidFill>
                    <w14:schemeClr w14:val="tx1"/>
                  </w14:solidFill>
                </w14:textFill>
              </w:rPr>
            </w:pPr>
            <w:r>
              <w:rPr>
                <w:rFonts w:hint="eastAsia" w:eastAsia="仿宋_GB2312" w:cs="Times New Roman"/>
                <w:color w:val="000000" w:themeColor="text1"/>
                <w:sz w:val="22"/>
                <w:szCs w:val="22"/>
                <w:vertAlign w:val="baseline"/>
                <w:lang w:val="en-US" w:eastAsia="zh-CN"/>
                <w14:textFill>
                  <w14:solidFill>
                    <w14:schemeClr w14:val="tx1"/>
                  </w14:solidFill>
                </w14:textFill>
              </w:rPr>
              <w:t>传统艺术、小丑表演等</w:t>
            </w:r>
          </w:p>
        </w:tc>
        <w:tc>
          <w:tcPr>
            <w:tcW w:w="1793"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2"/>
                <w:szCs w:val="22"/>
                <w:vertAlign w:val="baseline"/>
                <w:lang w:val="en-US" w:eastAsia="zh-CN"/>
                <w14:textFill>
                  <w14:solidFill>
                    <w14:schemeClr w14:val="tx1"/>
                  </w14:solidFill>
                </w14:textFill>
              </w:rPr>
            </w:pPr>
            <w:r>
              <w:rPr>
                <w:rFonts w:hint="eastAsia" w:eastAsia="仿宋_GB2312" w:cs="Times New Roman"/>
                <w:color w:val="000000" w:themeColor="text1"/>
                <w:sz w:val="22"/>
                <w:szCs w:val="22"/>
                <w:vertAlign w:val="baseline"/>
                <w:lang w:val="en-US" w:eastAsia="zh-CN"/>
                <w14:textFill>
                  <w14:solidFill>
                    <w14:schemeClr w14:val="tx1"/>
                  </w14:solidFill>
                </w14:textFill>
              </w:rPr>
              <w:t>90</w:t>
            </w:r>
          </w:p>
        </w:tc>
        <w:tc>
          <w:tcPr>
            <w:tcW w:w="150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2"/>
                <w:szCs w:val="22"/>
                <w:vertAlign w:val="baseline"/>
                <w:lang w:val="en-US" w:eastAsia="zh-CN"/>
                <w14:textFill>
                  <w14:solidFill>
                    <w14:schemeClr w14:val="tx1"/>
                  </w14:solidFill>
                </w14:textFill>
              </w:rPr>
            </w:pPr>
          </w:p>
        </w:tc>
        <w:tc>
          <w:tcPr>
            <w:tcW w:w="1317"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2"/>
                <w:szCs w:val="22"/>
                <w:vertAlign w:val="baseline"/>
                <w:lang w:val="en-US" w:eastAsia="zh-CN"/>
                <w14:textFill>
                  <w14:solidFill>
                    <w14:schemeClr w14:val="tx1"/>
                  </w14:solidFill>
                </w14:textFill>
              </w:rPr>
            </w:pPr>
            <w:r>
              <w:rPr>
                <w:rFonts w:hint="eastAsia" w:eastAsia="仿宋_GB2312" w:cs="Times New Roman"/>
                <w:color w:val="000000" w:themeColor="text1"/>
                <w:sz w:val="22"/>
                <w:szCs w:val="22"/>
                <w:vertAlign w:val="baseline"/>
                <w:lang w:val="en-US" w:eastAsia="zh-CN"/>
                <w14:textFill>
                  <w14:solidFill>
                    <w14:schemeClr w14:val="tx1"/>
                  </w14:solidFill>
                </w14:textFill>
              </w:rPr>
              <w:t>9</w:t>
            </w:r>
          </w:p>
        </w:tc>
        <w:tc>
          <w:tcPr>
            <w:tcW w:w="175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sz w:val="22"/>
                <w:szCs w:val="2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688" w:type="dxa"/>
            <w:gridSpan w:val="3"/>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cs="Times New Roman"/>
                <w:b/>
                <w:bCs/>
                <w:color w:val="000000" w:themeColor="text1"/>
                <w:sz w:val="22"/>
                <w:szCs w:val="22"/>
                <w:vertAlign w:val="baseline"/>
                <w:lang w:val="en-US" w:eastAsia="zh-CN"/>
                <w14:textFill>
                  <w14:solidFill>
                    <w14:schemeClr w14:val="tx1"/>
                  </w14:solidFill>
                </w14:textFill>
              </w:rPr>
            </w:pPr>
            <w:r>
              <w:rPr>
                <w:rFonts w:hint="eastAsia" w:eastAsia="仿宋_GB2312" w:cs="Times New Roman"/>
                <w:b/>
                <w:bCs/>
                <w:color w:val="000000" w:themeColor="text1"/>
                <w:sz w:val="22"/>
                <w:szCs w:val="22"/>
                <w:vertAlign w:val="baseline"/>
                <w:lang w:val="en-US" w:eastAsia="zh-CN"/>
                <w14:textFill>
                  <w14:solidFill>
                    <w14:schemeClr w14:val="tx1"/>
                  </w14:solidFill>
                </w14:textFill>
              </w:rPr>
              <w:t>合计</w:t>
            </w:r>
          </w:p>
        </w:tc>
        <w:tc>
          <w:tcPr>
            <w:tcW w:w="1317" w:type="dxa"/>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cs="Times New Roman"/>
                <w:b/>
                <w:bCs/>
                <w:color w:val="000000" w:themeColor="text1"/>
                <w:sz w:val="22"/>
                <w:szCs w:val="22"/>
                <w:vertAlign w:val="baseline"/>
                <w:lang w:val="en-US" w:eastAsia="zh-CN"/>
                <w14:textFill>
                  <w14:solidFill>
                    <w14:schemeClr w14:val="tx1"/>
                  </w14:solidFill>
                </w14:textFill>
              </w:rPr>
            </w:pPr>
          </w:p>
        </w:tc>
        <w:tc>
          <w:tcPr>
            <w:tcW w:w="1752" w:type="dxa"/>
          </w:tcPr>
          <w:p>
            <w:pPr>
              <w:pageBreakBefore w:val="0"/>
              <w:widowControl w:val="0"/>
              <w:kinsoku/>
              <w:wordWrap/>
              <w:overflowPunct/>
              <w:topLinePunct w:val="0"/>
              <w:autoSpaceDE/>
              <w:autoSpaceDN/>
              <w:bidi w:val="0"/>
              <w:adjustRightInd/>
              <w:snapToGrid/>
              <w:spacing w:line="560" w:lineRule="exact"/>
              <w:jc w:val="center"/>
              <w:textAlignment w:val="auto"/>
              <w:rPr>
                <w:rFonts w:hint="default" w:eastAsia="仿宋_GB2312" w:cs="Times New Roman"/>
                <w:b/>
                <w:bCs/>
                <w:color w:val="000000" w:themeColor="text1"/>
                <w:sz w:val="22"/>
                <w:szCs w:val="22"/>
                <w:vertAlign w:val="baseline"/>
                <w:lang w:val="en-US" w:eastAsia="zh-CN"/>
                <w14:textFill>
                  <w14:solidFill>
                    <w14:schemeClr w14:val="tx1"/>
                  </w14:solidFill>
                </w14:textFill>
              </w:rPr>
            </w:pPr>
          </w:p>
        </w:tc>
      </w:tr>
    </w:tbl>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备注：演出费用金额</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根据</w:t>
      </w:r>
      <w:r>
        <w:rPr>
          <w:rFonts w:hint="eastAsia" w:eastAsia="仿宋_GB2312" w:cs="Times New Roman"/>
          <w:color w:val="000000" w:themeColor="text1"/>
          <w:sz w:val="24"/>
          <w:szCs w:val="24"/>
          <w:lang w:val="en-US" w:eastAsia="zh-CN"/>
          <w14:textFill>
            <w14:solidFill>
              <w14:schemeClr w14:val="tx1"/>
            </w14:solidFill>
          </w14:textFill>
        </w:rPr>
        <w:t>双方合作期间内</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实际</w:t>
      </w:r>
      <w:r>
        <w:rPr>
          <w:rFonts w:hint="eastAsia" w:eastAsia="仿宋_GB2312" w:cs="Times New Roman"/>
          <w:color w:val="000000" w:themeColor="text1"/>
          <w:sz w:val="24"/>
          <w:szCs w:val="24"/>
          <w:lang w:val="en-US" w:eastAsia="zh-CN"/>
          <w14:textFill>
            <w14:solidFill>
              <w14:schemeClr w14:val="tx1"/>
            </w14:solidFill>
          </w14:textFill>
        </w:rPr>
        <w:t>表演场次所</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产生的费用</w:t>
      </w:r>
      <w:r>
        <w:rPr>
          <w:rFonts w:hint="eastAsia" w:eastAsia="仿宋_GB2312" w:cs="Times New Roman"/>
          <w:color w:val="000000" w:themeColor="text1"/>
          <w:sz w:val="24"/>
          <w:szCs w:val="24"/>
          <w:lang w:val="en-US" w:eastAsia="zh-CN"/>
          <w14:textFill>
            <w14:solidFill>
              <w14:schemeClr w14:val="tx1"/>
            </w14:solidFill>
          </w14:textFill>
        </w:rPr>
        <w:t>为准。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三、</w:t>
      </w:r>
      <w:r>
        <w:rPr>
          <w:rFonts w:hint="eastAsia" w:eastAsia="仿宋_GB2312" w:cs="Times New Roman"/>
          <w:color w:val="000000" w:themeColor="text1"/>
          <w:sz w:val="24"/>
          <w:szCs w:val="24"/>
          <w:lang w:val="en-US" w:eastAsia="zh-CN"/>
          <w14:textFill>
            <w14:solidFill>
              <w14:schemeClr w14:val="tx1"/>
            </w14:solidFill>
          </w14:textFill>
        </w:rPr>
        <w:t>表演费用</w:t>
      </w:r>
      <w:r>
        <w:rPr>
          <w:rFonts w:hint="default" w:ascii="Times New Roman" w:hAnsi="Times New Roman" w:eastAsia="仿宋_GB2312" w:cs="Times New Roman"/>
          <w:color w:val="000000" w:themeColor="text1"/>
          <w:sz w:val="24"/>
          <w:szCs w:val="24"/>
          <w14:textFill>
            <w14:solidFill>
              <w14:schemeClr w14:val="tx1"/>
            </w14:solidFill>
          </w14:textFill>
        </w:rPr>
        <w:t>付款方式</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w:t>
      </w:r>
      <w:r>
        <w:rPr>
          <w:rFonts w:hint="default" w:ascii="Times New Roman" w:hAnsi="Times New Roman" w:eastAsia="仿宋_GB2312" w:cs="Times New Roman"/>
          <w:color w:val="000000" w:themeColor="text1"/>
          <w:sz w:val="24"/>
          <w:szCs w:val="24"/>
          <w14:textFill>
            <w14:solidFill>
              <w14:schemeClr w14:val="tx1"/>
            </w14:solidFill>
          </w14:textFill>
        </w:rPr>
        <w:t>付款方式：</w:t>
      </w:r>
      <w:r>
        <w:rPr>
          <w:rFonts w:hint="eastAsia" w:eastAsia="仿宋_GB2312" w:cs="Times New Roman"/>
          <w:color w:val="000000" w:themeColor="text1"/>
          <w:sz w:val="24"/>
          <w:szCs w:val="24"/>
          <w:lang w:val="en-US" w:eastAsia="zh-CN"/>
          <w14:textFill>
            <w14:solidFill>
              <w14:schemeClr w14:val="tx1"/>
            </w14:solidFill>
          </w14:textFill>
        </w:rPr>
        <w:t>公对公</w:t>
      </w:r>
      <w:r>
        <w:rPr>
          <w:rFonts w:hint="default" w:ascii="Times New Roman" w:hAnsi="Times New Roman" w:eastAsia="仿宋_GB2312" w:cs="Times New Roman"/>
          <w:color w:val="000000" w:themeColor="text1"/>
          <w:sz w:val="24"/>
          <w:szCs w:val="24"/>
          <w14:textFill>
            <w14:solidFill>
              <w14:schemeClr w14:val="tx1"/>
            </w14:solidFill>
          </w14:textFill>
        </w:rPr>
        <w:t>转账</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乙方指定收款账</w:t>
      </w:r>
      <w:r>
        <w:rPr>
          <w:rFonts w:hint="eastAsia" w:eastAsia="仿宋_GB2312" w:cs="Times New Roman"/>
          <w:color w:val="000000" w:themeColor="text1"/>
          <w:sz w:val="24"/>
          <w:szCs w:val="24"/>
          <w:lang w:val="en-US" w:eastAsia="zh-CN"/>
          <w14:textFill>
            <w14:solidFill>
              <w14:schemeClr w14:val="tx1"/>
            </w14:solidFill>
          </w14:textFill>
        </w:rPr>
        <w:t>户</w:t>
      </w:r>
      <w:r>
        <w:rPr>
          <w:rFonts w:hint="default" w:ascii="Times New Roman" w:hAnsi="Times New Roman" w:eastAsia="仿宋_GB2312" w:cs="Times New Roman"/>
          <w:color w:val="000000" w:themeColor="text1"/>
          <w:sz w:val="24"/>
          <w:szCs w:val="24"/>
          <w14:textFill>
            <w14:solidFill>
              <w14:schemeClr w14:val="tx1"/>
            </w14:solidFill>
          </w14:textFill>
        </w:rPr>
        <w:t>如下：</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 xml:space="preserve">开户名称: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账</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号:</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 xml:space="preserve">开户银行: </w:t>
      </w:r>
      <w:r>
        <w:rPr>
          <w:rFonts w:hint="eastAsia" w:eastAsia="仿宋_GB2312" w:cs="Times New Roman"/>
          <w:color w:val="000000" w:themeColor="text1"/>
          <w:sz w:val="24"/>
          <w:szCs w:val="24"/>
          <w:lang w:val="en-US" w:eastAsia="zh-CN"/>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甲方的开票信息：</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公司名称：</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四川江油画屏尚景景区管理有限责任公司</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b/>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纳税人识别号：</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电</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话：</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开</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户</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行</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账</w:t>
      </w:r>
      <w:r>
        <w:rPr>
          <w:rFonts w:hint="eastAsia"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号：</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2、结算方式：按周结算。</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乙方在每周（周六、周日两场）演出</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活动结束后，</w:t>
      </w:r>
      <w:r>
        <w:rPr>
          <w:rFonts w:hint="eastAsia" w:eastAsia="仿宋_GB2312" w:cs="Times New Roman"/>
          <w:color w:val="000000" w:themeColor="text1"/>
          <w:sz w:val="24"/>
          <w:szCs w:val="24"/>
          <w:lang w:val="en-US" w:eastAsia="zh-CN"/>
          <w14:textFill>
            <w14:solidFill>
              <w14:schemeClr w14:val="tx1"/>
            </w14:solidFill>
          </w14:textFill>
        </w:rPr>
        <w:t>并开具实际产生费用金额的增值税专用</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发票，</w:t>
      </w:r>
      <w:r>
        <w:rPr>
          <w:rFonts w:hint="eastAsia" w:eastAsia="仿宋_GB2312" w:cs="Times New Roman"/>
          <w:color w:val="000000" w:themeColor="text1"/>
          <w:sz w:val="24"/>
          <w:szCs w:val="24"/>
          <w:lang w:val="en-US" w:eastAsia="zh-CN"/>
          <w14:textFill>
            <w14:solidFill>
              <w14:schemeClr w14:val="tx1"/>
            </w14:solidFill>
          </w14:textFill>
        </w:rPr>
        <w:t>甲方在收到乙方增值税专用发票后，于3个工作日内支付该费用</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四、双方相关权利、义务</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1、乙方应准时参与</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甲方规定时间、地点的演出</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活动</w:t>
      </w:r>
      <w:r>
        <w:rPr>
          <w:rFonts w:hint="eastAsia" w:eastAsia="仿宋_GB2312" w:cs="Times New Roman"/>
          <w:color w:val="000000" w:themeColor="text1"/>
          <w:sz w:val="24"/>
          <w:szCs w:val="24"/>
          <w:lang w:val="en-US" w:eastAsia="zh-CN"/>
          <w14:textFill>
            <w14:solidFill>
              <w14:schemeClr w14:val="tx1"/>
            </w14:solidFill>
          </w14:textFill>
        </w:rPr>
        <w:t>（按照双方议定的每场表演节目清单进行）</w:t>
      </w:r>
      <w:r>
        <w:rPr>
          <w:rFonts w:hint="default" w:ascii="Times New Roman" w:hAnsi="Times New Roman" w:eastAsia="仿宋_GB2312" w:cs="Times New Roman"/>
          <w:color w:val="000000" w:themeColor="text1"/>
          <w:sz w:val="24"/>
          <w:szCs w:val="24"/>
          <w14:textFill>
            <w14:solidFill>
              <w14:schemeClr w14:val="tx1"/>
            </w14:solidFill>
          </w14:textFill>
        </w:rPr>
        <w:t>。乙方不得</w:t>
      </w:r>
      <w:r>
        <w:rPr>
          <w:rFonts w:hint="eastAsia" w:eastAsia="仿宋_GB2312" w:cs="Times New Roman"/>
          <w:color w:val="000000" w:themeColor="text1"/>
          <w:sz w:val="24"/>
          <w:szCs w:val="24"/>
          <w:lang w:val="en-US" w:eastAsia="zh-CN"/>
          <w14:textFill>
            <w14:solidFill>
              <w14:schemeClr w14:val="tx1"/>
            </w14:solidFill>
          </w14:textFill>
        </w:rPr>
        <w:t>以任何理由擅自更改节目、</w:t>
      </w:r>
      <w:r>
        <w:rPr>
          <w:rFonts w:hint="default" w:ascii="Times New Roman" w:hAnsi="Times New Roman" w:eastAsia="仿宋_GB2312" w:cs="Times New Roman"/>
          <w:color w:val="000000" w:themeColor="text1"/>
          <w:sz w:val="24"/>
          <w:szCs w:val="24"/>
          <w14:textFill>
            <w14:solidFill>
              <w14:schemeClr w14:val="tx1"/>
            </w14:solidFill>
          </w14:textFill>
        </w:rPr>
        <w:t>私自违反合同</w:t>
      </w:r>
      <w:r>
        <w:rPr>
          <w:rFonts w:hint="eastAsia" w:eastAsia="仿宋_GB2312" w:cs="Times New Roman"/>
          <w:color w:val="000000" w:themeColor="text1"/>
          <w:sz w:val="24"/>
          <w:szCs w:val="24"/>
          <w:lang w:val="en-US" w:eastAsia="zh-CN"/>
          <w14:textFill>
            <w14:solidFill>
              <w14:schemeClr w14:val="tx1"/>
            </w14:solidFill>
          </w14:textFill>
        </w:rPr>
        <w:t>约定的</w:t>
      </w:r>
      <w:r>
        <w:rPr>
          <w:rFonts w:hint="default" w:ascii="Times New Roman" w:hAnsi="Times New Roman" w:eastAsia="仿宋_GB2312" w:cs="Times New Roman"/>
          <w:color w:val="000000" w:themeColor="text1"/>
          <w:sz w:val="24"/>
          <w:szCs w:val="24"/>
          <w14:textFill>
            <w14:solidFill>
              <w14:schemeClr w14:val="tx1"/>
            </w14:solidFill>
          </w14:textFill>
        </w:rPr>
        <w:t>演出时间规定，如未能及时参与彩排及演出，对甲方所造成的经济损失由乙方</w:t>
      </w:r>
      <w:r>
        <w:rPr>
          <w:rFonts w:hint="eastAsia" w:eastAsia="仿宋_GB2312" w:cs="Times New Roman"/>
          <w:color w:val="000000" w:themeColor="text1"/>
          <w:sz w:val="24"/>
          <w:szCs w:val="24"/>
          <w:lang w:val="en-US" w:eastAsia="zh-CN"/>
          <w14:textFill>
            <w14:solidFill>
              <w14:schemeClr w14:val="tx1"/>
            </w14:solidFill>
          </w14:textFill>
        </w:rPr>
        <w:t>全部</w:t>
      </w:r>
      <w:r>
        <w:rPr>
          <w:rFonts w:hint="default" w:ascii="Times New Roman" w:hAnsi="Times New Roman" w:eastAsia="仿宋_GB2312" w:cs="Times New Roman"/>
          <w:color w:val="000000" w:themeColor="text1"/>
          <w:sz w:val="24"/>
          <w:szCs w:val="24"/>
          <w14:textFill>
            <w14:solidFill>
              <w14:schemeClr w14:val="tx1"/>
            </w14:solidFill>
          </w14:textFill>
        </w:rPr>
        <w:t>承担。</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2、如遇</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活动</w:t>
      </w:r>
      <w:r>
        <w:rPr>
          <w:rFonts w:hint="default" w:ascii="Times New Roman" w:hAnsi="Times New Roman" w:eastAsia="仿宋_GB2312" w:cs="Times New Roman"/>
          <w:color w:val="000000" w:themeColor="text1"/>
          <w:sz w:val="24"/>
          <w:szCs w:val="24"/>
          <w14:textFill>
            <w14:solidFill>
              <w14:schemeClr w14:val="tx1"/>
            </w14:solidFill>
          </w14:textFill>
        </w:rPr>
        <w:t>内容变更，甲方须提前</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10</w:t>
      </w:r>
      <w:r>
        <w:rPr>
          <w:rFonts w:hint="default" w:ascii="Times New Roman" w:hAnsi="Times New Roman" w:eastAsia="仿宋_GB2312" w:cs="Times New Roman"/>
          <w:color w:val="000000" w:themeColor="text1"/>
          <w:sz w:val="24"/>
          <w:szCs w:val="24"/>
          <w14:textFill>
            <w14:solidFill>
              <w14:schemeClr w14:val="tx1"/>
            </w14:solidFill>
          </w14:textFill>
        </w:rPr>
        <w:t>天通知乙方便于乙方重新组织演职人员及排练等；如遇演出时间、地点变更等情况，甲方需提前</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10</w:t>
      </w:r>
      <w:r>
        <w:rPr>
          <w:rFonts w:hint="default" w:ascii="Times New Roman" w:hAnsi="Times New Roman" w:eastAsia="仿宋_GB2312" w:cs="Times New Roman"/>
          <w:color w:val="000000" w:themeColor="text1"/>
          <w:sz w:val="24"/>
          <w:szCs w:val="24"/>
          <w14:textFill>
            <w14:solidFill>
              <w14:schemeClr w14:val="tx1"/>
            </w14:solidFill>
          </w14:textFill>
        </w:rPr>
        <w:t>天通知乙方，如因未及时通知造成的损失由甲方承担。</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3、在舞台表演进行中如出现由</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甲</w:t>
      </w:r>
      <w:r>
        <w:rPr>
          <w:rFonts w:hint="default" w:ascii="Times New Roman" w:hAnsi="Times New Roman" w:eastAsia="仿宋_GB2312" w:cs="Times New Roman"/>
          <w:color w:val="000000" w:themeColor="text1"/>
          <w:sz w:val="24"/>
          <w:szCs w:val="24"/>
          <w14:textFill>
            <w14:solidFill>
              <w14:schemeClr w14:val="tx1"/>
            </w14:solidFill>
          </w14:textFill>
        </w:rPr>
        <w:t>方</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设备场地失误</w:t>
      </w:r>
      <w:r>
        <w:rPr>
          <w:rFonts w:hint="default" w:ascii="Times New Roman" w:hAnsi="Times New Roman" w:eastAsia="仿宋_GB2312" w:cs="Times New Roman"/>
          <w:color w:val="000000" w:themeColor="text1"/>
          <w:sz w:val="24"/>
          <w:szCs w:val="24"/>
          <w14:textFill>
            <w14:solidFill>
              <w14:schemeClr w14:val="tx1"/>
            </w14:solidFill>
          </w14:textFill>
        </w:rPr>
        <w:t>所造成的人员伤亡等安全问题，将由</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甲</w:t>
      </w:r>
      <w:r>
        <w:rPr>
          <w:rFonts w:hint="default" w:ascii="Times New Roman" w:hAnsi="Times New Roman" w:eastAsia="仿宋_GB2312" w:cs="Times New Roman"/>
          <w:color w:val="000000" w:themeColor="text1"/>
          <w:sz w:val="24"/>
          <w:szCs w:val="24"/>
          <w14:textFill>
            <w14:solidFill>
              <w14:schemeClr w14:val="tx1"/>
            </w14:solidFill>
          </w14:textFill>
        </w:rPr>
        <w:t>方承担全部责任</w:t>
      </w:r>
      <w:r>
        <w:rPr>
          <w:rFonts w:hint="eastAsia" w:eastAsia="仿宋_GB2312" w:cs="Times New Roman"/>
          <w:color w:val="000000" w:themeColor="text1"/>
          <w:sz w:val="24"/>
          <w:szCs w:val="24"/>
          <w:lang w:eastAsia="zh-Hans"/>
          <w14:textFill>
            <w14:solidFill>
              <w14:schemeClr w14:val="tx1"/>
            </w14:solidFill>
          </w14:textFill>
        </w:rPr>
        <w:t>，</w:t>
      </w:r>
      <w:r>
        <w:rPr>
          <w:rFonts w:hint="eastAsia" w:eastAsia="仿宋_GB2312" w:cs="Times New Roman"/>
          <w:color w:val="000000" w:themeColor="text1"/>
          <w:sz w:val="24"/>
          <w:szCs w:val="24"/>
          <w:lang w:val="en-US" w:eastAsia="zh-Hans"/>
          <w14:textFill>
            <w14:solidFill>
              <w14:schemeClr w14:val="tx1"/>
            </w14:solidFill>
          </w14:textFill>
        </w:rPr>
        <w:t>乙方演职人员在彩排与演出过程中因自身原因造成的安全问题由乙方承担责任</w:t>
      </w:r>
      <w:r>
        <w:rPr>
          <w:rFonts w:hint="default" w:ascii="Times New Roman" w:hAnsi="Times New Roman" w:eastAsia="仿宋_GB2312" w:cs="Times New Roman"/>
          <w:color w:val="000000" w:themeColor="text1"/>
          <w:sz w:val="24"/>
          <w:szCs w:val="24"/>
          <w14:textFill>
            <w14:solidFill>
              <w14:schemeClr w14:val="tx1"/>
            </w14:solidFill>
          </w14:textFill>
        </w:rPr>
        <w:t>；乙方在舞台表演之外的空闲地点因私自行为造成的任何不良后果，均由乙方负责承担。</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4、乙方必须按甲方所制定的计划执行，保证演出质量；对其人员就此条款的违约行为乙方承担全部法律责任及经济损失。</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5.乙方在收到定金后须提前安排好演</w:t>
      </w:r>
      <w:r>
        <w:rPr>
          <w:rFonts w:hint="eastAsia" w:eastAsia="仿宋_GB2312" w:cs="Times New Roman"/>
          <w:color w:val="000000" w:themeColor="text1"/>
          <w:sz w:val="24"/>
          <w:szCs w:val="24"/>
          <w:lang w:val="en-US" w:eastAsia="zh-CN"/>
          <w14:textFill>
            <w14:solidFill>
              <w14:schemeClr w14:val="tx1"/>
            </w14:solidFill>
          </w14:textFill>
        </w:rPr>
        <w:t>职</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人员档期，如甲方需要</w:t>
      </w:r>
      <w:r>
        <w:rPr>
          <w:rFonts w:hint="eastAsia" w:eastAsia="仿宋_GB2312" w:cs="Times New Roman"/>
          <w:color w:val="000000" w:themeColor="text1"/>
          <w:sz w:val="24"/>
          <w:szCs w:val="24"/>
          <w:lang w:val="en-US" w:eastAsia="zh-CN"/>
          <w14:textFill>
            <w14:solidFill>
              <w14:schemeClr w14:val="tx1"/>
            </w14:solidFill>
          </w14:textFill>
        </w:rPr>
        <w:t>更</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换和调整需和乙方协商沟通。</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第二部分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一、保证</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双方在签署本合同时，保证均具有符合法律规定的资格签署本合同，对各自的权利、义务、责任清楚明白，并愿按合同规定严格执行。</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二、保密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 甲、乙双方由于签署或履行本合同，了解、接触或获得的对方资料、信息、报价均应保守秘密；非经书面同意，任何一方不得向第三方泄露；</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 甲、乙双方均应采取一切合理措施使保密内容免于散发、传播、披露、复制、滥用及被无关人员接触；</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 甲、乙双方应承诺其与本合同相关人员对触及的保密信息保密，对其人员就此条款的违约行为承担法律责任；</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4、 如有必要，甲方有权要求乙方返还或销毁相关资料；</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5、 本合同终止后，甲、乙双方仍需遵守本条款，直到保密内容正式对外公开、已为公众所知为止；</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6、任何一方违反本条所规定的保密义务，违约方需向守约方支付本合同总金额10%的违约金，违约金不足以弥补守约方的损失，应当补足。</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三、不可抗力</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1、不可抗力是指双方不能预见、不能避免、无法克服的客观情况：包括</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疫情、</w:t>
      </w:r>
      <w:r>
        <w:rPr>
          <w:rFonts w:hint="default" w:ascii="Times New Roman" w:hAnsi="Times New Roman" w:eastAsia="仿宋_GB2312" w:cs="Times New Roman"/>
          <w:color w:val="000000" w:themeColor="text1"/>
          <w:sz w:val="24"/>
          <w:szCs w:val="24"/>
          <w14:textFill>
            <w14:solidFill>
              <w14:schemeClr w14:val="tx1"/>
            </w14:solidFill>
          </w14:textFill>
        </w:rPr>
        <w:t>自然灾害、气候变化、战争、动乱、空中飞行物体坠落等。受该情况妨碍、影响或延误，致使双方或遭受不可抗力影响一方，无法完全或部分履行本合同，甲乙双方均不向对方承担违约责任；</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 遭受不可抗力影响一方应尽最大努力克服相关事件，并于不可抗力事件发生后三日内，采取快捷、安全的方式将有关部门出具的证明文件或现场照片提供给对方确认；</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 遭受不可抗力事件一方竭尽最大努力，仍导致无法完全或部分履行，或导致本合同迟延履行，不承担违约责任，直至不可抗力事件消除为止。</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四、不可让与性</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未经甲方书面同意，乙方在活动完成前就本合同全部内容转让或让与第三方，否则甲方有权解除合同，乙方应当退还甲方已支付款项，并向甲方支付合同总额10%的违约金，违约金不足以弥补甲方损失的，应当补足。</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五、证明和登记</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依据法律、法规、行业管理部门要求，本合同或本合同中业务内容要办理登记或履行相应审批手续的，由甲方负责办理并承担相应费用，乙方应予以配合。由于甲方未履行本条款约定，导致乙方遭受罚款或其它损失，由甲方赔偿乙方全部损失。</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六、适用法律、争议解决方式</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 本合同及与本合同相关的附件法律依据《中华人民共和国</w:t>
      </w:r>
      <w:r>
        <w:rPr>
          <w:rFonts w:hint="eastAsia" w:eastAsia="仿宋_GB2312" w:cs="Times New Roman"/>
          <w:color w:val="000000" w:themeColor="text1"/>
          <w:sz w:val="24"/>
          <w:szCs w:val="24"/>
          <w:lang w:val="en-US" w:eastAsia="zh-Hans"/>
          <w14:textFill>
            <w14:solidFill>
              <w14:schemeClr w14:val="tx1"/>
            </w14:solidFill>
          </w14:textFill>
        </w:rPr>
        <w:t>民法典</w:t>
      </w:r>
      <w:r>
        <w:rPr>
          <w:rFonts w:hint="default" w:ascii="Times New Roman" w:hAnsi="Times New Roman" w:eastAsia="仿宋_GB2312" w:cs="Times New Roman"/>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 本合同在履行中发生的争议，双方应协商解决。如协商不成，双方同意将本合同产生的或与本合同有关的争议向甲方所在地的人民法院提起诉讼；</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 xml:space="preserve">七、生效、其它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 本合同经甲、乙双方签</w:t>
      </w:r>
      <w:r>
        <w:rPr>
          <w:rFonts w:hint="eastAsia" w:eastAsia="仿宋_GB2312" w:cs="Times New Roman"/>
          <w:color w:val="000000" w:themeColor="text1"/>
          <w:sz w:val="24"/>
          <w:szCs w:val="24"/>
          <w:lang w:val="en-US" w:eastAsia="zh-Hans"/>
          <w14:textFill>
            <w14:solidFill>
              <w14:schemeClr w14:val="tx1"/>
            </w14:solidFill>
          </w14:textFill>
        </w:rPr>
        <w:t>名</w:t>
      </w:r>
      <w:r>
        <w:rPr>
          <w:rFonts w:hint="default" w:ascii="Times New Roman" w:hAnsi="Times New Roman" w:eastAsia="仿宋_GB2312" w:cs="Times New Roman"/>
          <w:color w:val="000000" w:themeColor="text1"/>
          <w:sz w:val="24"/>
          <w:szCs w:val="24"/>
          <w14:textFill>
            <w14:solidFill>
              <w14:schemeClr w14:val="tx1"/>
            </w14:solidFill>
          </w14:textFill>
        </w:rPr>
        <w:t>盖章后生效；</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2、本合同壹式贰份，甲、乙双方各执壹份，均具有同等法律效力；</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 本合同之附件、补充协议具有与本合同同等的法律效力。补充协议效力优先于本合同，补充协议生效以双方盖章确认为准；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4、 合同包含合同双方所有意向，并取代双方在此之前就合作项目所达成的一切口头或书面协议；</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5、 本合同变更、修改、补充及其它未尽事宜，应由双方共同协商，并以书面形式盖章确认后生效。</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6、 本合同以上内容及附件内容为电脑打印；手工填写或更改应由双方在填写或更改处盖章确认，否则无效。</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甲方</w:t>
      </w:r>
      <w:r>
        <w:rPr>
          <w:rFonts w:hint="default"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盖章</w:t>
      </w:r>
      <w:r>
        <w:rPr>
          <w:rFonts w:hint="default"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乙方</w:t>
      </w:r>
      <w:r>
        <w:rPr>
          <w:rFonts w:hint="default"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盖章</w:t>
      </w:r>
      <w:r>
        <w:rPr>
          <w:rFonts w:hint="default"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left="1368" w:leftChars="570" w:firstLine="480" w:firstLineChars="200"/>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法定代表人或授权代表签字：</w:t>
      </w:r>
      <w:r>
        <w:rPr>
          <w:rFonts w:hint="default" w:ascii="Times New Roman" w:hAnsi="Times New Roman" w:eastAsia="仿宋_GB2312" w:cs="Times New Roman"/>
          <w:color w:val="000000" w:themeColor="text1"/>
          <w:sz w:val="24"/>
          <w:szCs w:val="24"/>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法定代表人或授权代表签字：</w:t>
      </w:r>
    </w:p>
    <w:p>
      <w:pPr>
        <w:pageBreakBefore w:val="0"/>
        <w:widowControl w:val="0"/>
        <w:kinsoku/>
        <w:wordWrap/>
        <w:overflowPunct/>
        <w:topLinePunct w:val="0"/>
        <w:autoSpaceDE/>
        <w:autoSpaceDN/>
        <w:bidi w:val="0"/>
        <w:adjustRightInd/>
        <w:snapToGrid/>
        <w:spacing w:line="560" w:lineRule="exact"/>
        <w:textAlignment w:val="auto"/>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联系人：                                联系人：</w:t>
      </w:r>
    </w:p>
    <w:p>
      <w:pPr>
        <w:pageBreakBefore w:val="0"/>
        <w:widowControl w:val="0"/>
        <w:kinsoku/>
        <w:wordWrap/>
        <w:overflowPunct/>
        <w:topLinePunct w:val="0"/>
        <w:autoSpaceDE/>
        <w:autoSpaceDN/>
        <w:bidi w:val="0"/>
        <w:adjustRightInd/>
        <w:snapToGrid/>
        <w:spacing w:line="560" w:lineRule="exact"/>
        <w:textAlignment w:val="auto"/>
        <w:rPr>
          <w:rFonts w:hint="default"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联系方式：                              联系方式：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签订日期：    </w:t>
      </w:r>
      <w:r>
        <w:rPr>
          <w:rFonts w:hint="default" w:ascii="Times New Roman" w:hAnsi="Times New Roman" w:eastAsia="仿宋_GB2312" w:cs="Times New Roman"/>
          <w:color w:val="000000" w:themeColor="text1"/>
          <w:sz w:val="24"/>
          <w:szCs w:val="24"/>
          <w14:textFill>
            <w14:solidFill>
              <w14:schemeClr w14:val="tx1"/>
            </w14:solidFill>
          </w14:textFill>
        </w:rPr>
        <w:t>年</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月</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日</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签订日期：    </w:t>
      </w:r>
      <w:r>
        <w:rPr>
          <w:rFonts w:hint="default" w:ascii="Times New Roman" w:hAnsi="Times New Roman" w:eastAsia="仿宋_GB2312" w:cs="Times New Roman"/>
          <w:color w:val="000000" w:themeColor="text1"/>
          <w:sz w:val="24"/>
          <w:szCs w:val="24"/>
          <w14:textFill>
            <w14:solidFill>
              <w14:schemeClr w14:val="tx1"/>
            </w14:solidFill>
          </w14:textFill>
        </w:rPr>
        <w:t>年</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月</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2FEDDF-7B0C-42DD-8E1E-609712E3E9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CEE165A8-8FA0-4B36-ACDA-F190F4B6D0A9}"/>
  </w:font>
  <w:font w:name="仿宋">
    <w:panose1 w:val="02010609060101010101"/>
    <w:charset w:val="86"/>
    <w:family w:val="auto"/>
    <w:pitch w:val="default"/>
    <w:sig w:usb0="800002BF" w:usb1="38CF7CFA" w:usb2="00000016" w:usb3="00000000" w:csb0="00040001" w:csb1="00000000"/>
    <w:embedRegular r:id="rId3" w:fontKey="{E48EDB7C-B92C-484A-A23E-EC0C6502A0BA}"/>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11672464"/>
    <w:rsid w:val="12853ED2"/>
    <w:rsid w:val="134768DF"/>
    <w:rsid w:val="14224BF0"/>
    <w:rsid w:val="161B669A"/>
    <w:rsid w:val="192B21B3"/>
    <w:rsid w:val="19E5114C"/>
    <w:rsid w:val="241724D8"/>
    <w:rsid w:val="25CE1DB0"/>
    <w:rsid w:val="2BE21A2F"/>
    <w:rsid w:val="2FAD1DCC"/>
    <w:rsid w:val="300C3A87"/>
    <w:rsid w:val="34086058"/>
    <w:rsid w:val="360C0D29"/>
    <w:rsid w:val="361719C1"/>
    <w:rsid w:val="37512F06"/>
    <w:rsid w:val="40E964C7"/>
    <w:rsid w:val="47044A64"/>
    <w:rsid w:val="499910CF"/>
    <w:rsid w:val="4BFA3450"/>
    <w:rsid w:val="4F59011B"/>
    <w:rsid w:val="50CA2BBB"/>
    <w:rsid w:val="557038BD"/>
    <w:rsid w:val="57752E80"/>
    <w:rsid w:val="57C16B81"/>
    <w:rsid w:val="5FC15772"/>
    <w:rsid w:val="5FC15FA1"/>
    <w:rsid w:val="6104037C"/>
    <w:rsid w:val="63E814D0"/>
    <w:rsid w:val="64047E51"/>
    <w:rsid w:val="65D57BE0"/>
    <w:rsid w:val="6D4E5FC4"/>
    <w:rsid w:val="6D860727"/>
    <w:rsid w:val="71494FDF"/>
    <w:rsid w:val="732E26DE"/>
    <w:rsid w:val="740F66D5"/>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4329</Words>
  <Characters>4471</Characters>
  <Lines>0</Lines>
  <Paragraphs>0</Paragraphs>
  <TotalTime>0</TotalTime>
  <ScaleCrop>false</ScaleCrop>
  <LinksUpToDate>false</LinksUpToDate>
  <CharactersWithSpaces>5036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2024-07-01T03:38:34Z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