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为江油蜀游酒店管理有限公司旗下青莲欧洲院子厨房改建项目提供改建服务</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工程</w:t>
      </w:r>
      <w:r>
        <w:rPr>
          <w:rFonts w:hint="eastAsia" w:ascii="黑体" w:hAnsi="黑体" w:eastAsia="黑体" w:cs="黑体"/>
          <w:b w:val="0"/>
          <w:bCs w:val="0"/>
          <w:sz w:val="32"/>
          <w:szCs w:val="32"/>
          <w:u w:val="none" w:color="auto"/>
        </w:rPr>
        <w:t>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pStyle w:val="3"/>
        <w:numPr>
          <w:ilvl w:val="0"/>
          <w:numId w:val="0"/>
        </w:numPr>
        <w:ind w:right="0" w:rightChars="0"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color w:val="auto"/>
          <w:kern w:val="0"/>
          <w:sz w:val="32"/>
          <w:szCs w:val="32"/>
          <w:highlight w:val="none"/>
          <w:lang w:val="en-US" w:eastAsia="zh-CN"/>
        </w:rPr>
        <w:t>对原厨房和公共卫生间区域室内外地砖、门窗等进行维修翻新（约76平方），原有庭院及室外场地扩建厨房（约180平方），原雅间室内外维修翻新（约93平方）</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1.报价需包含人工费、材料费、运输费、装卸费、税金、调试费、安装费等费用；</w:t>
      </w:r>
    </w:p>
    <w:p>
      <w:pPr>
        <w:pStyle w:val="2"/>
        <w:ind w:left="0" w:leftChars="0" w:firstLine="640" w:firstLineChars="200"/>
        <w:rPr>
          <w:rFonts w:hint="eastAsia"/>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2.服务内容必须与上述明细表完全吻合。</w:t>
      </w:r>
    </w:p>
    <w:p>
      <w:pPr>
        <w:pStyle w:val="2"/>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3"/>
        <w:tblW w:w="1002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890"/>
        <w:gridCol w:w="608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890"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6080"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1</w:t>
            </w:r>
          </w:p>
        </w:tc>
        <w:tc>
          <w:tcPr>
            <w:tcW w:w="2890" w:type="dxa"/>
            <w:noWrap w:val="0"/>
            <w:vAlign w:val="center"/>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交货时间/工期要求</w:t>
            </w:r>
          </w:p>
        </w:tc>
        <w:tc>
          <w:tcPr>
            <w:tcW w:w="6080" w:type="dxa"/>
            <w:noWrap w:val="0"/>
            <w:vAlign w:val="top"/>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p>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合同签订后</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60天内</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交付使用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2</w:t>
            </w:r>
          </w:p>
        </w:tc>
        <w:tc>
          <w:tcPr>
            <w:tcW w:w="289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施工</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地点</w:t>
            </w:r>
          </w:p>
        </w:tc>
        <w:tc>
          <w:tcPr>
            <w:tcW w:w="6080" w:type="dxa"/>
            <w:noWrap w:val="0"/>
            <w:vAlign w:val="top"/>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青莲欧洲院子3#楼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3</w:t>
            </w:r>
          </w:p>
        </w:tc>
        <w:tc>
          <w:tcPr>
            <w:tcW w:w="289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验收要求</w:t>
            </w:r>
          </w:p>
        </w:tc>
        <w:tc>
          <w:tcPr>
            <w:tcW w:w="6080" w:type="dxa"/>
            <w:noWrap w:val="0"/>
            <w:vAlign w:val="top"/>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kern w:val="0"/>
                <w:sz w:val="32"/>
                <w:szCs w:val="32"/>
                <w:lang w:val="zh-CN" w:eastAsia="zh-CN"/>
              </w:rPr>
              <w:t>按照</w:t>
            </w:r>
            <w:r>
              <w:rPr>
                <w:rFonts w:hint="eastAsia" w:ascii="仿宋_GB2312" w:hAnsi="仿宋_GB2312" w:eastAsia="仿宋_GB2312" w:cs="仿宋_GB2312"/>
                <w:kern w:val="0"/>
                <w:sz w:val="32"/>
                <w:szCs w:val="32"/>
                <w:lang w:val="en-US" w:eastAsia="zh-CN"/>
              </w:rPr>
              <w:t>本项目施工图纸及相关</w:t>
            </w:r>
            <w:r>
              <w:rPr>
                <w:rFonts w:hint="eastAsia" w:ascii="仿宋_GB2312" w:hAnsi="仿宋_GB2312" w:eastAsia="仿宋_GB2312" w:cs="仿宋_GB2312"/>
                <w:kern w:val="0"/>
                <w:sz w:val="32"/>
                <w:szCs w:val="32"/>
                <w:lang w:val="zh-CN" w:eastAsia="zh-CN"/>
              </w:rPr>
              <w:t>要求</w:t>
            </w:r>
            <w:r>
              <w:rPr>
                <w:rFonts w:hint="eastAsia" w:ascii="仿宋_GB2312" w:hAnsi="仿宋_GB2312" w:eastAsia="仿宋_GB2312" w:cs="仿宋_GB2312"/>
                <w:kern w:val="0"/>
                <w:sz w:val="32"/>
                <w:szCs w:val="32"/>
                <w:lang w:val="en-US" w:eastAsia="zh-CN"/>
              </w:rPr>
              <w:t>进行</w:t>
            </w:r>
            <w:r>
              <w:rPr>
                <w:rFonts w:hint="eastAsia" w:ascii="仿宋_GB2312" w:hAnsi="仿宋_GB2312" w:eastAsia="仿宋_GB2312" w:cs="仿宋_GB2312"/>
                <w:kern w:val="0"/>
                <w:sz w:val="32"/>
                <w:szCs w:val="32"/>
                <w:lang w:val="zh-CN" w:eastAsia="zh-CN"/>
              </w:rPr>
              <w:t>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4</w:t>
            </w:r>
          </w:p>
        </w:tc>
        <w:tc>
          <w:tcPr>
            <w:tcW w:w="289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款项支付方式、进度</w:t>
            </w:r>
          </w:p>
        </w:tc>
        <w:tc>
          <w:tcPr>
            <w:tcW w:w="6080" w:type="dxa"/>
            <w:noWrap w:val="0"/>
            <w:vAlign w:val="top"/>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详见附件8：合同主要条款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5</w:t>
            </w:r>
          </w:p>
        </w:tc>
        <w:tc>
          <w:tcPr>
            <w:tcW w:w="2890" w:type="dxa"/>
            <w:noWrap w:val="0"/>
            <w:vAlign w:val="center"/>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其他</w:t>
            </w:r>
          </w:p>
        </w:tc>
        <w:tc>
          <w:tcPr>
            <w:tcW w:w="6080" w:type="dxa"/>
            <w:noWrap w:val="0"/>
            <w:vAlign w:val="center"/>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无</w:t>
            </w:r>
          </w:p>
        </w:tc>
      </w:tr>
    </w:tbl>
    <w:p>
      <w:pPr>
        <w:rPr>
          <w:rFonts w:hint="eastAsia" w:ascii="黑体" w:hAnsi="黑体" w:eastAsia="黑体" w:cs="黑体"/>
          <w:b w:val="0"/>
          <w:bCs w:val="0"/>
          <w:sz w:val="32"/>
          <w:szCs w:val="32"/>
          <w:u w:val="none" w:color="auto"/>
          <w:lang w:eastAsia="zh-CN"/>
        </w:rPr>
      </w:pPr>
    </w:p>
    <w:p>
      <w:pPr>
        <w:pStyle w:val="3"/>
        <w:rPr>
          <w:rFonts w:hint="eastAsia" w:ascii="黑体" w:hAnsi="黑体" w:eastAsia="黑体" w:cs="黑体"/>
          <w:b w:val="0"/>
          <w:bCs w:val="0"/>
          <w:sz w:val="32"/>
          <w:szCs w:val="32"/>
          <w:u w:val="none" w:color="auto"/>
          <w:lang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附件3：竞标函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青莲欧洲院子厨房改建项目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江油蜀游酒店管理有限公司：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我方全面研究了“青莲欧洲院子厨房改建项目比选公告”，决定参加贵单位组织的本次比选，并自觉遵守采购相关规定，遵守采购规则，维护正常的比选秩序。</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我方自愿按照比选公告规定的各项要求向采购人提供所需物资及服务，提供的物资及服务等所有权及知识产权等权利无瑕疵。总报价</w:t>
      </w:r>
      <w:r>
        <w:rPr>
          <w:rFonts w:hint="eastAsia" w:ascii="仿宋" w:hAnsi="仿宋" w:eastAsia="仿宋" w:cs="仿宋"/>
          <w:sz w:val="32"/>
          <w:szCs w:val="32"/>
          <w:u w:val="none"/>
          <w:lang w:val="en-US" w:eastAsia="zh-CN"/>
        </w:rPr>
        <w:t>最高限价下浮：</w:t>
      </w:r>
      <w:r>
        <w:rPr>
          <w:rFonts w:hint="eastAsia" w:ascii="仿宋" w:hAnsi="仿宋" w:eastAsia="仿宋" w:cs="仿宋"/>
          <w:sz w:val="32"/>
          <w:szCs w:val="32"/>
          <w:u w:val="single"/>
          <w:lang w:val="en-US" w:eastAsia="zh-CN"/>
        </w:rPr>
        <w:t xml:space="preserve">         %</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附件：合同主要条款</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3"/>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pStyle w:val="3"/>
        <w:shd w:val="clear" w:color="auto" w:fil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附件4：项目报价单</w:t>
      </w:r>
    </w:p>
    <w:p>
      <w:pPr>
        <w:pStyle w:val="3"/>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101" w:line="576" w:lineRule="exact"/>
        <w:ind w:left="0" w:firstLine="0" w:firstLineChars="0"/>
        <w:jc w:val="center"/>
        <w:textAlignment w:val="auto"/>
        <w:outlineLvl w:val="2"/>
        <w:rPr>
          <w:rFonts w:hint="eastAsia" w:ascii="宋体" w:hAnsi="宋体" w:eastAsia="宋体" w:cs="宋体"/>
          <w:sz w:val="24"/>
          <w:szCs w:val="24"/>
          <w:u w:val="none" w:color="auto"/>
        </w:rPr>
      </w:pPr>
      <w:r>
        <w:rPr>
          <w:rFonts w:hint="eastAsia" w:hAnsi="宋体" w:eastAsia="宋体" w:cs="宋体"/>
          <w:spacing w:val="4"/>
          <w:sz w:val="24"/>
          <w:szCs w:val="24"/>
          <w:u w:val="none" w:color="auto"/>
          <w:lang w:val="en-US" w:eastAsia="zh-CN"/>
        </w:rPr>
        <w:t>项目</w:t>
      </w:r>
      <w:r>
        <w:rPr>
          <w:rFonts w:hint="eastAsia" w:ascii="宋体" w:hAnsi="宋体" w:eastAsia="宋体" w:cs="宋体"/>
          <w:spacing w:val="4"/>
          <w:sz w:val="24"/>
          <w:szCs w:val="24"/>
          <w:u w:val="none" w:color="auto"/>
        </w:rPr>
        <w:t>报价单</w:t>
      </w:r>
    </w:p>
    <w:p>
      <w:pPr>
        <w:keepNext w:val="0"/>
        <w:keepLines w:val="0"/>
        <w:pageBreakBefore w:val="0"/>
        <w:widowControl w:val="0"/>
        <w:kinsoku/>
        <w:wordWrap/>
        <w:overflowPunct/>
        <w:topLinePunct w:val="0"/>
        <w:autoSpaceDE/>
        <w:autoSpaceDN/>
        <w:bidi w:val="0"/>
        <w:adjustRightInd/>
        <w:snapToGrid/>
        <w:spacing w:before="74" w:line="576" w:lineRule="exact"/>
        <w:ind w:left="121"/>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      </w:t>
      </w:r>
    </w:p>
    <w:p>
      <w:pPr>
        <w:keepNext w:val="0"/>
        <w:keepLines w:val="0"/>
        <w:pageBreakBefore w:val="0"/>
        <w:widowControl w:val="0"/>
        <w:kinsoku/>
        <w:wordWrap/>
        <w:overflowPunct/>
        <w:topLinePunct w:val="0"/>
        <w:autoSpaceDE/>
        <w:autoSpaceDN/>
        <w:bidi w:val="0"/>
        <w:adjustRightInd/>
        <w:snapToGrid/>
        <w:spacing w:before="74" w:line="576" w:lineRule="exact"/>
        <w:ind w:left="121"/>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      </w:t>
      </w:r>
    </w:p>
    <w:tbl>
      <w:tblPr>
        <w:tblStyle w:val="13"/>
        <w:tblpPr w:leftFromText="180" w:rightFromText="180" w:vertAnchor="text" w:horzAnchor="page" w:tblpX="975" w:tblpY="35"/>
        <w:tblOverlap w:val="never"/>
        <w:tblW w:w="1018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9"/>
        <w:gridCol w:w="3820"/>
        <w:gridCol w:w="1648"/>
        <w:gridCol w:w="960"/>
        <w:gridCol w:w="31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619"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z w:val="24"/>
                <w:szCs w:val="24"/>
                <w:u w:val="none" w:color="auto"/>
              </w:rPr>
            </w:pPr>
            <w:r>
              <w:rPr>
                <w:rFonts w:hint="eastAsia" w:ascii="宋体" w:hAnsi="宋体" w:eastAsia="宋体" w:cs="宋体"/>
                <w:spacing w:val="45"/>
                <w:sz w:val="24"/>
                <w:szCs w:val="24"/>
                <w:u w:val="none" w:color="auto"/>
              </w:rPr>
              <w:t>序</w:t>
            </w:r>
            <w:r>
              <w:rPr>
                <w:rFonts w:hint="eastAsia" w:ascii="宋体" w:hAnsi="宋体" w:eastAsia="宋体" w:cs="宋体"/>
                <w:spacing w:val="44"/>
                <w:sz w:val="24"/>
                <w:szCs w:val="24"/>
                <w:u w:val="none" w:color="auto"/>
              </w:rPr>
              <w:t>号</w:t>
            </w:r>
          </w:p>
        </w:tc>
        <w:tc>
          <w:tcPr>
            <w:tcW w:w="3820"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采购内容</w:t>
            </w:r>
          </w:p>
        </w:tc>
        <w:tc>
          <w:tcPr>
            <w:tcW w:w="1648"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报价</w:t>
            </w:r>
          </w:p>
        </w:tc>
        <w:tc>
          <w:tcPr>
            <w:tcW w:w="960"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单位</w:t>
            </w:r>
          </w:p>
        </w:tc>
        <w:tc>
          <w:tcPr>
            <w:tcW w:w="3135"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trPr>
        <w:tc>
          <w:tcPr>
            <w:tcW w:w="619"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3820" w:type="dxa"/>
            <w:noWrap w:val="0"/>
            <w:vAlign w:val="top"/>
          </w:tcPr>
          <w:p>
            <w:pPr>
              <w:keepNext w:val="0"/>
              <w:keepLines w:val="0"/>
              <w:pageBreakBefore w:val="0"/>
              <w:widowControl w:val="0"/>
              <w:kinsoku/>
              <w:wordWrap/>
              <w:overflowPunct/>
              <w:topLinePunct w:val="0"/>
              <w:autoSpaceDE/>
              <w:autoSpaceDN/>
              <w:bidi w:val="0"/>
              <w:adjustRightInd/>
              <w:snapToGrid/>
              <w:spacing w:before="116" w:line="576" w:lineRule="exact"/>
              <w:ind w:left="155"/>
              <w:jc w:val="center"/>
              <w:textAlignment w:val="auto"/>
              <w:rPr>
                <w:rFonts w:hint="default" w:ascii="宋体" w:hAnsi="宋体" w:eastAsia="宋体" w:cs="宋体"/>
                <w:sz w:val="24"/>
                <w:szCs w:val="24"/>
                <w:u w:val="none" w:color="auto"/>
                <w:lang w:val="en-US" w:eastAsia="zh-CN"/>
              </w:rPr>
            </w:pPr>
            <w:r>
              <w:rPr>
                <w:rFonts w:hint="eastAsia" w:ascii="宋体" w:hAnsi="宋体" w:eastAsia="宋体" w:cs="宋体"/>
                <w:sz w:val="24"/>
                <w:szCs w:val="24"/>
                <w:u w:val="none" w:color="auto"/>
                <w:lang w:val="en-US" w:eastAsia="zh-CN"/>
              </w:rPr>
              <w:t>青莲欧洲院子厨房改建项目</w:t>
            </w:r>
          </w:p>
        </w:tc>
        <w:tc>
          <w:tcPr>
            <w:tcW w:w="1648"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宋体" w:cs="宋体"/>
                <w:sz w:val="24"/>
                <w:szCs w:val="24"/>
                <w:u w:val="none" w:color="auto"/>
              </w:rPr>
            </w:pPr>
          </w:p>
        </w:tc>
        <w:tc>
          <w:tcPr>
            <w:tcW w:w="960" w:type="dxa"/>
            <w:noWrap w:val="0"/>
            <w:vAlign w:val="top"/>
          </w:tcPr>
          <w:p>
            <w:pPr>
              <w:keepNext w:val="0"/>
              <w:keepLines w:val="0"/>
              <w:pageBreakBefore w:val="0"/>
              <w:widowControl w:val="0"/>
              <w:kinsoku/>
              <w:wordWrap/>
              <w:overflowPunct/>
              <w:topLinePunct w:val="0"/>
              <w:autoSpaceDE/>
              <w:autoSpaceDN/>
              <w:bidi w:val="0"/>
              <w:adjustRightInd/>
              <w:snapToGrid/>
              <w:spacing w:before="116" w:line="576" w:lineRule="exact"/>
              <w:jc w:val="center"/>
              <w:textAlignment w:val="auto"/>
              <w:rPr>
                <w:rFonts w:hint="default" w:ascii="宋体" w:hAnsi="宋体" w:eastAsia="宋体" w:cs="宋体"/>
                <w:sz w:val="24"/>
                <w:szCs w:val="24"/>
                <w:u w:val="none" w:color="auto"/>
                <w:lang w:val="en-US" w:eastAsia="zh-CN"/>
              </w:rPr>
            </w:pPr>
            <w:r>
              <w:rPr>
                <w:rFonts w:hint="eastAsia" w:ascii="宋体" w:hAnsi="宋体" w:eastAsia="宋体" w:cs="宋体"/>
                <w:sz w:val="24"/>
                <w:szCs w:val="24"/>
                <w:u w:val="none" w:color="auto"/>
                <w:lang w:val="en-US" w:eastAsia="zh-CN"/>
              </w:rPr>
              <w:t>%</w:t>
            </w:r>
          </w:p>
        </w:tc>
        <w:tc>
          <w:tcPr>
            <w:tcW w:w="3135" w:type="dxa"/>
            <w:noWrap w:val="0"/>
            <w:vAlign w:val="top"/>
          </w:tcPr>
          <w:p>
            <w:pPr>
              <w:keepNext w:val="0"/>
              <w:keepLines w:val="0"/>
              <w:pageBreakBefore w:val="0"/>
              <w:widowControl w:val="0"/>
              <w:kinsoku/>
              <w:wordWrap/>
              <w:overflowPunct/>
              <w:topLinePunct w:val="0"/>
              <w:autoSpaceDE/>
              <w:autoSpaceDN/>
              <w:bidi w:val="0"/>
              <w:adjustRightInd/>
              <w:snapToGrid/>
              <w:spacing w:before="116" w:line="576" w:lineRule="exact"/>
              <w:ind w:left="117"/>
              <w:textAlignment w:val="auto"/>
              <w:rPr>
                <w:rFonts w:hint="default" w:ascii="宋体" w:hAnsi="宋体" w:eastAsia="宋体" w:cs="宋体"/>
                <w:sz w:val="24"/>
                <w:szCs w:val="24"/>
                <w:u w:val="none" w:color="auto"/>
                <w:lang w:val="en-US" w:eastAsia="zh-CN"/>
              </w:rPr>
            </w:pPr>
            <w:r>
              <w:rPr>
                <w:rFonts w:hint="eastAsia" w:ascii="仿宋" w:hAnsi="仿宋" w:eastAsia="仿宋" w:cs="仿宋"/>
                <w:b w:val="0"/>
                <w:bCs w:val="0"/>
                <w:sz w:val="24"/>
                <w:szCs w:val="24"/>
                <w:u w:val="none" w:color="auto"/>
                <w:lang w:val="en-US" w:eastAsia="zh-CN"/>
              </w:rPr>
              <w:t>基准价进行百分比下浮。</w:t>
            </w:r>
          </w:p>
        </w:tc>
      </w:tr>
    </w:tbl>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pStyle w:val="2"/>
        <w:rPr>
          <w:rFonts w:hint="eastAsia" w:ascii="仿宋" w:hAnsi="仿宋" w:eastAsia="仿宋" w:cs="仿宋"/>
          <w:b w:val="0"/>
          <w:bCs w:val="0"/>
          <w:color w:val="auto"/>
          <w:sz w:val="32"/>
          <w:szCs w:val="32"/>
          <w:u w:val="none" w:color="auto"/>
          <w:lang w:val="en-US" w:eastAsia="zh-CN"/>
        </w:rPr>
      </w:pPr>
    </w:p>
    <w:p>
      <w:pPr>
        <w:rPr>
          <w:rFonts w:hint="eastAsia" w:ascii="仿宋" w:hAnsi="仿宋" w:eastAsia="仿宋" w:cs="仿宋"/>
          <w:b w:val="0"/>
          <w:bCs w:val="0"/>
          <w:color w:val="auto"/>
          <w:sz w:val="32"/>
          <w:szCs w:val="32"/>
          <w:u w:val="none" w:color="auto"/>
          <w:lang w:val="en-US" w:eastAsia="zh-CN"/>
        </w:rPr>
      </w:pPr>
    </w:p>
    <w:p>
      <w:pPr>
        <w:pStyle w:val="2"/>
        <w:rPr>
          <w:rFonts w:hint="eastAsia" w:ascii="仿宋" w:hAnsi="仿宋" w:eastAsia="仿宋" w:cs="仿宋"/>
          <w:b w:val="0"/>
          <w:bCs w:val="0"/>
          <w:color w:val="auto"/>
          <w:sz w:val="32"/>
          <w:szCs w:val="32"/>
          <w:u w:val="none" w:color="auto"/>
          <w:lang w:val="en-US" w:eastAsia="zh-CN"/>
        </w:rPr>
      </w:pPr>
    </w:p>
    <w:p>
      <w:pPr>
        <w:rPr>
          <w:rFonts w:hint="eastAsia" w:ascii="仿宋" w:hAnsi="仿宋" w:eastAsia="仿宋" w:cs="仿宋"/>
          <w:b w:val="0"/>
          <w:bCs w:val="0"/>
          <w:color w:val="auto"/>
          <w:sz w:val="32"/>
          <w:szCs w:val="32"/>
          <w:u w:val="none" w:color="auto"/>
          <w:lang w:val="en-US" w:eastAsia="zh-CN"/>
        </w:rPr>
      </w:pPr>
    </w:p>
    <w:p>
      <w:pPr>
        <w:pStyle w:val="2"/>
        <w:rPr>
          <w:rFonts w:hint="eastAsia" w:ascii="仿宋" w:hAnsi="仿宋" w:eastAsia="仿宋" w:cs="仿宋"/>
          <w:b w:val="0"/>
          <w:bCs w:val="0"/>
          <w:color w:val="auto"/>
          <w:sz w:val="32"/>
          <w:szCs w:val="32"/>
          <w:u w:val="none" w:color="auto"/>
          <w:lang w:val="en-US" w:eastAsia="zh-CN"/>
        </w:rPr>
      </w:pPr>
    </w:p>
    <w:p>
      <w:pPr>
        <w:rPr>
          <w:rFonts w:hint="eastAsia"/>
          <w:lang w:val="en-US" w:eastAsia="zh-CN"/>
        </w:rPr>
      </w:pPr>
    </w:p>
    <w:p>
      <w:pPr>
        <w:spacing w:before="91"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报价单位（盖章）：</w:t>
      </w:r>
    </w:p>
    <w:p>
      <w:pPr>
        <w:pStyle w:val="3"/>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法定代表人或授权代表（签字）：</w:t>
      </w:r>
    </w:p>
    <w:p>
      <w:pPr>
        <w:spacing w:before="208"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日期 ：       年     月      日</w:t>
      </w:r>
    </w:p>
    <w:p>
      <w:pPr>
        <w:rPr>
          <w:rFonts w:hint="default"/>
          <w:lang w:val="en-US" w:eastAsia="zh-CN"/>
        </w:rPr>
      </w:pPr>
    </w:p>
    <w:p>
      <w:pPr>
        <w:pStyle w:val="3"/>
        <w:rPr>
          <w:rFonts w:hint="default"/>
          <w:lang w:val="en-US" w:eastAsia="zh-CN"/>
        </w:rPr>
      </w:pPr>
    </w:p>
    <w:p>
      <w:pPr>
        <w:pStyle w:val="3"/>
        <w:rPr>
          <w:rFonts w:hint="default"/>
          <w:lang w:val="en-US" w:eastAsia="zh-CN"/>
        </w:rPr>
      </w:pPr>
    </w:p>
    <w:p>
      <w:pPr>
        <w:pStyle w:val="3"/>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附件5：商务应答表</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3"/>
        <w:tblW w:w="983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996"/>
        <w:gridCol w:w="3570"/>
        <w:gridCol w:w="1436"/>
        <w:gridCol w:w="9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序号</w:t>
            </w:r>
          </w:p>
        </w:tc>
        <w:tc>
          <w:tcPr>
            <w:tcW w:w="2996"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内容</w:t>
            </w:r>
          </w:p>
        </w:tc>
        <w:tc>
          <w:tcPr>
            <w:tcW w:w="357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招标/采购要求</w:t>
            </w:r>
          </w:p>
        </w:tc>
        <w:tc>
          <w:tcPr>
            <w:tcW w:w="1436"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磋商应答</w:t>
            </w:r>
          </w:p>
        </w:tc>
        <w:tc>
          <w:tcPr>
            <w:tcW w:w="989"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1</w:t>
            </w:r>
          </w:p>
        </w:tc>
        <w:tc>
          <w:tcPr>
            <w:tcW w:w="2996" w:type="dxa"/>
            <w:noWrap w:val="0"/>
            <w:vAlign w:val="center"/>
          </w:tcPr>
          <w:p>
            <w:pPr>
              <w:shd w:val="clear" w:color="auto" w:fill="auto"/>
              <w:adjustRightInd w:val="0"/>
              <w:spacing w:line="320" w:lineRule="exact"/>
              <w:ind w:left="0" w:leftChars="0" w:right="0" w:rightChars="0" w:firstLine="0" w:firstLineChars="0"/>
              <w:jc w:val="center"/>
              <w:rPr>
                <w:rFonts w:hint="default"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交货时间/工期要求</w:t>
            </w:r>
          </w:p>
        </w:tc>
        <w:tc>
          <w:tcPr>
            <w:tcW w:w="3570" w:type="dxa"/>
            <w:noWrap w:val="0"/>
            <w:vAlign w:val="top"/>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p>
          <w:p>
            <w:pPr>
              <w:shd w:val="clear" w:color="auto" w:fill="auto"/>
              <w:adjustRightInd w:val="0"/>
              <w:spacing w:line="320" w:lineRule="exact"/>
              <w:ind w:left="0" w:leftChars="0" w:right="0" w:rightChars="0" w:firstLine="0" w:firstLineChars="0"/>
              <w:jc w:val="center"/>
              <w:rPr>
                <w:rFonts w:hint="default"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合同签订后</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60天内</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交付使用</w:t>
            </w:r>
          </w:p>
        </w:tc>
        <w:tc>
          <w:tcPr>
            <w:tcW w:w="1436"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844"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2</w:t>
            </w:r>
          </w:p>
        </w:tc>
        <w:tc>
          <w:tcPr>
            <w:tcW w:w="2996"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施工</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地点</w:t>
            </w:r>
          </w:p>
        </w:tc>
        <w:tc>
          <w:tcPr>
            <w:tcW w:w="3570" w:type="dxa"/>
            <w:noWrap w:val="0"/>
            <w:vAlign w:val="top"/>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青莲欧洲院子3#楼</w:t>
            </w:r>
          </w:p>
        </w:tc>
        <w:tc>
          <w:tcPr>
            <w:tcW w:w="1436"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3</w:t>
            </w:r>
          </w:p>
        </w:tc>
        <w:tc>
          <w:tcPr>
            <w:tcW w:w="2996"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验收要求</w:t>
            </w:r>
          </w:p>
        </w:tc>
        <w:tc>
          <w:tcPr>
            <w:tcW w:w="3570" w:type="dxa"/>
            <w:noWrap w:val="0"/>
            <w:vAlign w:val="top"/>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_GB2312" w:hAnsi="仿宋_GB2312" w:eastAsia="仿宋_GB2312" w:cs="仿宋_GB2312"/>
                <w:kern w:val="0"/>
                <w:sz w:val="32"/>
                <w:szCs w:val="32"/>
                <w:lang w:val="zh-CN" w:eastAsia="zh-CN"/>
              </w:rPr>
              <w:t>按照</w:t>
            </w:r>
            <w:r>
              <w:rPr>
                <w:rFonts w:hint="eastAsia" w:ascii="仿宋_GB2312" w:hAnsi="仿宋_GB2312" w:eastAsia="仿宋_GB2312" w:cs="仿宋_GB2312"/>
                <w:kern w:val="0"/>
                <w:sz w:val="32"/>
                <w:szCs w:val="32"/>
                <w:lang w:val="en-US" w:eastAsia="zh-CN"/>
              </w:rPr>
              <w:t>本项目施工图纸及相关</w:t>
            </w:r>
            <w:r>
              <w:rPr>
                <w:rFonts w:hint="eastAsia" w:ascii="仿宋_GB2312" w:hAnsi="仿宋_GB2312" w:eastAsia="仿宋_GB2312" w:cs="仿宋_GB2312"/>
                <w:kern w:val="0"/>
                <w:sz w:val="32"/>
                <w:szCs w:val="32"/>
                <w:lang w:val="zh-CN" w:eastAsia="zh-CN"/>
              </w:rPr>
              <w:t>要求</w:t>
            </w:r>
            <w:r>
              <w:rPr>
                <w:rFonts w:hint="eastAsia" w:ascii="仿宋_GB2312" w:hAnsi="仿宋_GB2312" w:eastAsia="仿宋_GB2312" w:cs="仿宋_GB2312"/>
                <w:kern w:val="0"/>
                <w:sz w:val="32"/>
                <w:szCs w:val="32"/>
                <w:lang w:val="en-US" w:eastAsia="zh-CN"/>
              </w:rPr>
              <w:t>进行</w:t>
            </w:r>
            <w:r>
              <w:rPr>
                <w:rFonts w:hint="eastAsia" w:ascii="仿宋_GB2312" w:hAnsi="仿宋_GB2312" w:eastAsia="仿宋_GB2312" w:cs="仿宋_GB2312"/>
                <w:kern w:val="0"/>
                <w:sz w:val="32"/>
                <w:szCs w:val="32"/>
                <w:lang w:val="zh-CN" w:eastAsia="zh-CN"/>
              </w:rPr>
              <w:t>验收。</w:t>
            </w:r>
          </w:p>
        </w:tc>
        <w:tc>
          <w:tcPr>
            <w:tcW w:w="1436"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4</w:t>
            </w:r>
          </w:p>
        </w:tc>
        <w:tc>
          <w:tcPr>
            <w:tcW w:w="2996"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款项支付方式、进度</w:t>
            </w:r>
          </w:p>
        </w:tc>
        <w:tc>
          <w:tcPr>
            <w:tcW w:w="3570" w:type="dxa"/>
            <w:noWrap w:val="0"/>
            <w:vAlign w:val="top"/>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详见附件8：合同主要条款</w:t>
            </w:r>
          </w:p>
        </w:tc>
        <w:tc>
          <w:tcPr>
            <w:tcW w:w="1436"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5</w:t>
            </w:r>
          </w:p>
        </w:tc>
        <w:tc>
          <w:tcPr>
            <w:tcW w:w="2996"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其他</w:t>
            </w:r>
          </w:p>
        </w:tc>
        <w:tc>
          <w:tcPr>
            <w:tcW w:w="357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无</w:t>
            </w:r>
          </w:p>
        </w:tc>
        <w:tc>
          <w:tcPr>
            <w:tcW w:w="1436"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bl>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注 ：投标方必须据实填写 （备注中可注明正、负或无偏离） ，不得虚假响应，否则将取消其磋商或成交资格。</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shd w:val="clear" w:color="auto" w:fill="auto"/>
        <w:spacing w:before="91"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p>
    <w:p>
      <w:pPr>
        <w:shd w:val="clear" w:color="auto" w:fill="auto"/>
        <w:spacing w:before="91"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投标方名称（盖章）：</w:t>
      </w:r>
    </w:p>
    <w:p>
      <w:pPr>
        <w:shd w:val="clear" w:color="auto" w:fill="auto"/>
        <w:spacing w:before="91" w:line="221" w:lineRule="auto"/>
        <w:rPr>
          <w:rFonts w:hint="default"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法定代表人或授权代表（签字）：</w:t>
      </w:r>
    </w:p>
    <w:p>
      <w:pPr>
        <w:shd w:val="clear" w:color="auto" w:fill="auto"/>
        <w:spacing w:before="91" w:line="221" w:lineRule="auto"/>
        <w:rPr>
          <w:rFonts w:hint="eastAsia" w:ascii="仿宋" w:hAnsi="仿宋" w:eastAsia="仿宋" w:cs="仿宋"/>
          <w:sz w:val="32"/>
          <w:szCs w:val="32"/>
          <w:lang w:val="en-US" w:eastAsia="zh-CN"/>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日     期 ：       年     月      日</w:t>
      </w:r>
    </w:p>
    <w:p>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pPr>
        <w:pStyle w:val="2"/>
        <w:rPr>
          <w:rFonts w:hint="eastAsia"/>
        </w:rPr>
      </w:pPr>
    </w:p>
    <w:p>
      <w:pPr>
        <w:rPr>
          <w:rFonts w:hint="eastAsia"/>
        </w:rPr>
      </w:pPr>
    </w:p>
    <w:p>
      <w:pPr>
        <w:pStyle w:val="2"/>
        <w:rPr>
          <w:rFonts w:hint="eastAsia"/>
        </w:rPr>
      </w:pPr>
    </w:p>
    <w:p>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附件6：法定代表人身份证明</w:t>
      </w:r>
    </w:p>
    <w:p>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单位性质：</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地址：</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成立时间：    年     月     日</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经营期限：</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姓名：       性别：       身份证号码：       年龄：     职务：    系（单位名称）的法定代表人。</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特此证明。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            （盖章）</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    期 ：       年      月     日</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附：法定代表人联系地址：</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法定代表人身份证复印件粘贴（正面+反面）：</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 w:hAnsi="仿宋" w:eastAsia="仿宋" w:cs="仿宋"/>
          <w:sz w:val="32"/>
          <w:szCs w:val="32"/>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江油蜀游酒店管理有限公司：</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“青莲欧洲院子厨房改建项目” 比选活动的合法代表，以我方名义全权处理该项目有关竞标、签订合同以及执行合同等一切事宜。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pPr>
        <w:keepNext w:val="0"/>
        <w:keepLines w:val="0"/>
        <w:pageBreakBefore w:val="0"/>
        <w:kinsoku/>
        <w:wordWrap/>
        <w:overflowPunct/>
        <w:topLinePunct w:val="0"/>
        <w:autoSpaceDE/>
        <w:autoSpaceDN/>
        <w:bidi w:val="0"/>
        <w:adjustRightInd/>
        <w:snapToGrid/>
        <w:spacing w:line="512" w:lineRule="exact"/>
        <w:textAlignment w:val="auto"/>
      </w:pPr>
    </w:p>
    <w:p>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pPr>
        <w:pStyle w:val="3"/>
        <w:rPr>
          <w:rFonts w:hint="eastAsia" w:ascii="宋体" w:hAnsi="宋体" w:eastAsia="宋体" w:cs="宋体"/>
          <w:spacing w:val="17"/>
          <w:sz w:val="28"/>
          <w:szCs w:val="28"/>
          <w:u w:val="none" w:color="auto"/>
        </w:rPr>
      </w:pPr>
    </w:p>
    <w:p>
      <w:pPr>
        <w:rPr>
          <w:rFonts w:hint="eastAsia" w:ascii="宋体" w:hAnsi="宋体" w:eastAsia="宋体" w:cs="宋体"/>
          <w:spacing w:val="17"/>
          <w:sz w:val="28"/>
          <w:szCs w:val="28"/>
          <w:u w:val="none" w:color="auto"/>
        </w:rPr>
      </w:pPr>
    </w:p>
    <w:p>
      <w:pPr>
        <w:rPr>
          <w:rFonts w:hint="default"/>
          <w:lang w:val="en-US" w:eastAsia="zh-CN"/>
        </w:rPr>
        <w:sectPr>
          <w:pgSz w:w="11906" w:h="16838"/>
          <w:pgMar w:top="1440" w:right="1803" w:bottom="1440" w:left="1803"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附件7：合同主要条款</w:t>
      </w:r>
    </w:p>
    <w:p>
      <w:pPr>
        <w:keepNext w:val="0"/>
        <w:keepLines w:val="0"/>
        <w:pageBreakBefore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青莲欧洲院子厨房改建项目</w:t>
      </w:r>
      <w:r>
        <w:rPr>
          <w:rFonts w:hint="eastAsia" w:ascii="方正小标宋简体" w:hAnsi="方正小标宋简体" w:eastAsia="方正小标宋简体" w:cs="方正小标宋简体"/>
          <w:sz w:val="44"/>
          <w:szCs w:val="44"/>
          <w:lang w:val="en-US" w:eastAsia="zh-CN"/>
        </w:rPr>
        <w:t xml:space="preserve"> </w:t>
      </w:r>
    </w:p>
    <w:p>
      <w:pPr>
        <w:keepNext w:val="0"/>
        <w:keepLines w:val="0"/>
        <w:pageBreakBefore w:val="0"/>
        <w:widowControl w:val="0"/>
        <w:kinsoku/>
        <w:wordWrap/>
        <w:overflowPunct/>
        <w:topLinePunct w:val="0"/>
        <w:autoSpaceDE/>
        <w:autoSpaceDN/>
        <w:bidi w:val="0"/>
        <w:spacing w:line="55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施工</w:t>
      </w:r>
      <w:r>
        <w:rPr>
          <w:rFonts w:hint="eastAsia" w:ascii="方正小标宋简体" w:hAnsi="方正小标宋简体" w:eastAsia="方正小标宋简体" w:cs="方正小标宋简体"/>
          <w:sz w:val="44"/>
          <w:szCs w:val="44"/>
        </w:rPr>
        <w:t>合同</w:t>
      </w:r>
    </w:p>
    <w:p>
      <w:pPr>
        <w:pStyle w:val="2"/>
        <w:keepNext w:val="0"/>
        <w:keepLines w:val="0"/>
        <w:pageBreakBefore w:val="0"/>
        <w:widowControl w:val="0"/>
        <w:kinsoku/>
        <w:wordWrap/>
        <w:overflowPunct/>
        <w:topLinePunct w:val="0"/>
        <w:autoSpaceDE/>
        <w:autoSpaceDN/>
        <w:bidi w:val="0"/>
        <w:spacing w:after="0" w:line="556" w:lineRule="exact"/>
        <w:textAlignment w:val="auto"/>
        <w:rPr>
          <w:rFonts w:hint="eastAsia"/>
        </w:rPr>
      </w:pPr>
    </w:p>
    <w:p>
      <w:pPr>
        <w:keepNext w:val="0"/>
        <w:keepLines w:val="0"/>
        <w:pageBreakBefore w:val="0"/>
        <w:widowControl w:val="0"/>
        <w:kinsoku/>
        <w:wordWrap/>
        <w:overflowPunct/>
        <w:topLinePunct w:val="0"/>
        <w:autoSpaceDE/>
        <w:autoSpaceDN/>
        <w:bidi w:val="0"/>
        <w:spacing w:line="556"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甲方：</w:t>
      </w:r>
      <w:r>
        <w:rPr>
          <w:rFonts w:hint="eastAsia" w:ascii="仿宋_GB2312" w:hAnsi="仿宋_GB2312" w:eastAsia="仿宋_GB2312" w:cs="仿宋_GB2312"/>
          <w:sz w:val="32"/>
          <w:szCs w:val="32"/>
          <w:lang w:val="en-US" w:eastAsia="zh-CN"/>
        </w:rPr>
        <w:t>江油蜀游酒店管理有限公司</w:t>
      </w:r>
    </w:p>
    <w:p>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地址：江油太平镇桃园路</w:t>
      </w:r>
      <w:r>
        <w:rPr>
          <w:rFonts w:hint="eastAsia" w:asciiTheme="majorEastAsia" w:hAnsiTheme="majorEastAsia" w:eastAsiaTheme="majorEastAsia" w:cstheme="majorEastAsia"/>
          <w:sz w:val="32"/>
          <w:szCs w:val="32"/>
          <w:lang w:val="en-US" w:eastAsia="zh-CN"/>
        </w:rPr>
        <w:t>576</w:t>
      </w:r>
      <w:r>
        <w:rPr>
          <w:rFonts w:hint="eastAsia" w:ascii="仿宋_GB2312" w:hAnsi="仿宋_GB2312" w:eastAsia="仿宋_GB2312" w:cs="仿宋_GB2312"/>
          <w:sz w:val="32"/>
          <w:szCs w:val="32"/>
          <w:lang w:val="en-US" w:eastAsia="zh-CN"/>
        </w:rPr>
        <w:t>号</w:t>
      </w:r>
    </w:p>
    <w:p>
      <w:pPr>
        <w:keepNext w:val="0"/>
        <w:keepLines w:val="0"/>
        <w:pageBreakBefore w:val="0"/>
        <w:widowControl w:val="0"/>
        <w:kinsoku/>
        <w:wordWrap/>
        <w:overflowPunct/>
        <w:topLinePunct w:val="0"/>
        <w:autoSpaceDE/>
        <w:autoSpaceDN/>
        <w:bidi w:val="0"/>
        <w:spacing w:line="556"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电话：</w:t>
      </w:r>
    </w:p>
    <w:p>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乙方：</w:t>
      </w:r>
    </w:p>
    <w:p>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w:t>
      </w:r>
    </w:p>
    <w:p>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电话：</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根据《民法典》等有关法律法规的规定，结合本工程的具体情况，甲乙双方在遵循自愿、平等、公平、诚信的基础上，经双方协商一致，签订本合同。</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第一条 工程概况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一、工程名称：</w:t>
      </w:r>
      <w:r>
        <w:rPr>
          <w:rFonts w:hint="eastAsia" w:ascii="仿宋_GB2312" w:hAnsi="仿宋_GB2312" w:eastAsia="仿宋_GB2312" w:cs="仿宋_GB2312"/>
          <w:sz w:val="32"/>
          <w:szCs w:val="32"/>
          <w:lang w:val="en-US" w:eastAsia="zh-CN"/>
        </w:rPr>
        <w:t xml:space="preserve">青莲欧洲院子厨房改建项目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二、工程地点：</w:t>
      </w:r>
      <w:r>
        <w:rPr>
          <w:rFonts w:hint="eastAsia" w:ascii="仿宋_GB2312" w:hAnsi="仿宋_GB2312" w:eastAsia="仿宋_GB2312" w:cs="仿宋_GB2312"/>
          <w:sz w:val="32"/>
          <w:szCs w:val="32"/>
          <w:lang w:val="en-US" w:eastAsia="zh-CN"/>
        </w:rPr>
        <w:t>青莲欧洲院子</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第二条 工程范围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乙方承包的工程范围：</w:t>
      </w:r>
      <w:r>
        <w:rPr>
          <w:rFonts w:hint="eastAsia" w:ascii="仿宋" w:hAnsi="仿宋" w:eastAsia="仿宋" w:cs="仿宋"/>
          <w:color w:val="auto"/>
          <w:kern w:val="0"/>
          <w:sz w:val="32"/>
          <w:szCs w:val="32"/>
          <w:highlight w:val="none"/>
          <w:lang w:val="en-US" w:eastAsia="zh-CN"/>
        </w:rPr>
        <w:t>对原厨房和公共卫生间区域室内外地砖、门窗等进行维修翻新（约76平方），原有庭院及室外场地扩建厨房（约180平方），原雅间室内外维修翻新（约93平方）。</w:t>
      </w:r>
      <w:r>
        <w:rPr>
          <w:rFonts w:hint="eastAsia" w:ascii="仿宋_GB2312" w:hAnsi="仿宋_GB2312" w:eastAsia="仿宋_GB2312" w:cs="仿宋_GB2312"/>
          <w:sz w:val="32"/>
          <w:szCs w:val="32"/>
          <w:lang w:val="en-US" w:eastAsia="zh-CN"/>
        </w:rPr>
        <w:t>（具体要求见施工图纸）</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第三条 承包方式   </w:t>
      </w:r>
    </w:p>
    <w:p>
      <w:pPr>
        <w:keepNext w:val="0"/>
        <w:keepLines w:val="0"/>
        <w:pageBreakBefore w:val="0"/>
        <w:widowControl w:val="0"/>
        <w:kinsoku/>
        <w:wordWrap/>
        <w:overflowPunct/>
        <w:topLinePunct w:val="0"/>
        <w:autoSpaceDE/>
        <w:autoSpaceDN/>
        <w:bidi w:val="0"/>
        <w:spacing w:line="556" w:lineRule="exact"/>
        <w:ind w:firstLine="57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承包方式：</w:t>
      </w:r>
      <w:r>
        <w:rPr>
          <w:rFonts w:hint="eastAsia" w:ascii="仿宋_GB2312" w:hAnsi="仿宋_GB2312" w:eastAsia="仿宋_GB2312" w:cs="仿宋_GB2312"/>
          <w:sz w:val="32"/>
          <w:szCs w:val="32"/>
          <w:lang w:val="en-US" w:eastAsia="zh-CN"/>
        </w:rPr>
        <w:t>含税固定总价包干，改建</w:t>
      </w:r>
      <w:r>
        <w:rPr>
          <w:rFonts w:hint="eastAsia" w:ascii="仿宋_GB2312" w:hAnsi="仿宋_GB2312" w:eastAsia="仿宋_GB2312" w:cs="仿宋_GB2312"/>
          <w:sz w:val="32"/>
          <w:szCs w:val="32"/>
        </w:rPr>
        <w:t>工程所需主材</w:t>
      </w:r>
      <w:r>
        <w:rPr>
          <w:rFonts w:hint="eastAsia" w:ascii="仿宋_GB2312" w:hAnsi="仿宋_GB2312" w:eastAsia="仿宋_GB2312" w:cs="仿宋_GB2312"/>
          <w:sz w:val="32"/>
          <w:szCs w:val="32"/>
          <w:lang w:eastAsia="zh-CN"/>
        </w:rPr>
        <w:t>、辅材，由</w:t>
      </w:r>
      <w:r>
        <w:rPr>
          <w:rFonts w:hint="eastAsia" w:ascii="仿宋_GB2312" w:hAnsi="仿宋_GB2312" w:eastAsia="仿宋_GB2312" w:cs="仿宋_GB2312"/>
          <w:sz w:val="32"/>
          <w:szCs w:val="32"/>
        </w:rPr>
        <w:t>乙方包人工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包</w:t>
      </w:r>
      <w:r>
        <w:rPr>
          <w:rFonts w:hint="eastAsia" w:ascii="仿宋_GB2312" w:hAnsi="仿宋_GB2312" w:eastAsia="仿宋_GB2312" w:cs="仿宋_GB2312"/>
          <w:sz w:val="32"/>
          <w:szCs w:val="32"/>
          <w:lang w:eastAsia="zh-CN"/>
        </w:rPr>
        <w:t>主材、包</w:t>
      </w:r>
      <w:r>
        <w:rPr>
          <w:rFonts w:hint="eastAsia" w:ascii="仿宋_GB2312" w:hAnsi="仿宋_GB2312" w:eastAsia="仿宋_GB2312" w:cs="仿宋_GB2312"/>
          <w:sz w:val="32"/>
          <w:szCs w:val="32"/>
        </w:rPr>
        <w:t>辅料</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第四条 合同工期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本合同工期为</w:t>
      </w:r>
      <w:r>
        <w:rPr>
          <w:rFonts w:hint="eastAsia" w:asciiTheme="majorEastAsia" w:hAnsiTheme="majorEastAsia" w:eastAsiaTheme="majorEastAsia" w:cstheme="majorEastAsia"/>
          <w:sz w:val="32"/>
          <w:szCs w:val="32"/>
          <w:lang w:val="en-US" w:eastAsia="zh-CN"/>
        </w:rPr>
        <w:t>60</w:t>
      </w:r>
      <w:r>
        <w:rPr>
          <w:rFonts w:hint="eastAsia" w:ascii="仿宋_GB2312" w:hAnsi="仿宋_GB2312" w:eastAsia="仿宋_GB2312" w:cs="仿宋_GB2312"/>
          <w:sz w:val="32"/>
          <w:szCs w:val="32"/>
        </w:rPr>
        <w:t>天，自乙方进场之日起计算。</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第五条 工程价款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工程价款为：合同总价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rPr>
        <w:t>元</w:t>
      </w:r>
      <w:r>
        <w:rPr>
          <w:rFonts w:hint="eastAsia" w:ascii="仿宋_GB2312" w:hAnsi="仿宋_GB2312" w:eastAsia="仿宋_GB2312" w:cs="仿宋_GB2312"/>
          <w:sz w:val="32"/>
          <w:szCs w:val="32"/>
          <w:u w:val="single"/>
        </w:rPr>
        <w:t>，大写（</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元</w:t>
      </w:r>
      <w:r>
        <w:rPr>
          <w:rFonts w:hint="eastAsia" w:ascii="仿宋_GB2312" w:hAnsi="仿宋_GB2312" w:eastAsia="仿宋_GB2312" w:cs="仿宋_GB2312"/>
          <w:sz w:val="32"/>
          <w:szCs w:val="32"/>
          <w:u w:val="single"/>
        </w:rPr>
        <w:t>）</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color w:val="FF0000"/>
          <w:sz w:val="32"/>
          <w:szCs w:val="32"/>
          <w:u w:val="single"/>
          <w:lang w:eastAsia="zh-CN"/>
        </w:rPr>
        <w:t>（</w:t>
      </w:r>
      <w:r>
        <w:rPr>
          <w:rFonts w:hint="eastAsia" w:ascii="仿宋_GB2312" w:hAnsi="仿宋_GB2312" w:eastAsia="仿宋_GB2312" w:cs="仿宋_GB2312"/>
          <w:color w:val="FF0000"/>
          <w:sz w:val="32"/>
          <w:szCs w:val="32"/>
          <w:u w:val="single"/>
          <w:lang w:val="en-US" w:eastAsia="zh-CN"/>
        </w:rPr>
        <w:t>合同最终金额以第三方机构出具的审计报告中，审定金额为准）</w:t>
      </w:r>
      <w:r>
        <w:rPr>
          <w:rFonts w:hint="eastAsia" w:ascii="仿宋_GB2312" w:hAnsi="仿宋_GB2312" w:eastAsia="仿宋_GB2312" w:cs="仿宋_GB2312"/>
          <w:sz w:val="32"/>
          <w:szCs w:val="32"/>
          <w:u w:val="single"/>
          <w:lang w:val="en-US" w:eastAsia="zh-CN"/>
        </w:rPr>
        <w:t>。</w:t>
      </w:r>
      <w:r>
        <w:rPr>
          <w:rFonts w:hint="eastAsia" w:ascii="仿宋_GB2312" w:hAnsi="仿宋_GB2312" w:eastAsia="仿宋_GB2312" w:cs="仿宋_GB2312"/>
          <w:color w:val="auto"/>
          <w:sz w:val="32"/>
          <w:szCs w:val="32"/>
          <w:u w:val="single"/>
          <w:lang w:eastAsia="zh-CN"/>
        </w:rPr>
        <w:t>该费用为</w:t>
      </w:r>
      <w:r>
        <w:rPr>
          <w:rFonts w:hint="eastAsia" w:ascii="仿宋_GB2312" w:hAnsi="仿宋_GB2312" w:eastAsia="仿宋_GB2312" w:cs="仿宋_GB2312"/>
          <w:color w:val="auto"/>
          <w:sz w:val="32"/>
          <w:szCs w:val="32"/>
          <w:u w:val="single"/>
          <w:lang w:val="en-US" w:eastAsia="zh-CN"/>
        </w:rPr>
        <w:t>施工图纸</w:t>
      </w:r>
      <w:r>
        <w:rPr>
          <w:rFonts w:hint="eastAsia" w:ascii="仿宋_GB2312" w:hAnsi="仿宋_GB2312" w:eastAsia="仿宋_GB2312" w:cs="仿宋_GB2312"/>
          <w:color w:val="auto"/>
          <w:sz w:val="32"/>
          <w:szCs w:val="32"/>
          <w:u w:val="single"/>
          <w:lang w:eastAsia="zh-CN"/>
        </w:rPr>
        <w:t>约定的全部费用，</w:t>
      </w:r>
      <w:r>
        <w:rPr>
          <w:rFonts w:hint="eastAsia" w:ascii="仿宋_GB2312" w:hAnsi="仿宋_GB2312" w:eastAsia="仿宋_GB2312" w:cs="仿宋_GB2312"/>
          <w:color w:val="auto"/>
          <w:sz w:val="32"/>
          <w:szCs w:val="32"/>
          <w:u w:val="single"/>
          <w:lang w:val="en-US" w:eastAsia="zh-CN"/>
        </w:rPr>
        <w:t>乙方向甲方提供同等额增值税专用发票</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第六条 工程价款支付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一、双方签订合同后，甲方支付合同总金额的</w:t>
      </w:r>
      <w:r>
        <w:rPr>
          <w:rFonts w:hint="eastAsia" w:asciiTheme="majorEastAsia" w:hAnsiTheme="majorEastAsia" w:eastAsiaTheme="majorEastAsia" w:cstheme="majorEastAsia"/>
          <w:sz w:val="32"/>
          <w:szCs w:val="32"/>
          <w:lang w:val="en-US" w:eastAsia="zh-CN"/>
        </w:rPr>
        <w:t>50%</w:t>
      </w:r>
      <w:r>
        <w:rPr>
          <w:rFonts w:hint="eastAsia" w:ascii="仿宋_GB2312" w:hAnsi="仿宋_GB2312" w:eastAsia="仿宋_GB2312" w:cs="仿宋_GB2312"/>
          <w:sz w:val="32"/>
          <w:szCs w:val="32"/>
          <w:lang w:val="en-US" w:eastAsia="zh-CN"/>
        </w:rPr>
        <w:t>作为备料款，</w:t>
      </w:r>
      <w:r>
        <w:rPr>
          <w:rFonts w:hint="eastAsia" w:ascii="仿宋_GB2312" w:hAnsi="仿宋_GB2312" w:eastAsia="仿宋_GB2312" w:cs="仿宋_GB2312"/>
          <w:sz w:val="32"/>
          <w:szCs w:val="32"/>
          <w:u w:val="single"/>
          <w:lang w:val="en-US" w:eastAsia="zh-CN"/>
        </w:rPr>
        <w:t xml:space="preserve">大写：       </w:t>
      </w:r>
      <w:r>
        <w:rPr>
          <w:rFonts w:hint="eastAsia" w:ascii="仿宋_GB2312" w:hAnsi="仿宋_GB2312" w:eastAsia="仿宋_GB2312" w:cs="仿宋_GB2312"/>
          <w:sz w:val="32"/>
          <w:szCs w:val="32"/>
          <w:u w:val="none"/>
          <w:lang w:val="en-US" w:eastAsia="zh-CN"/>
        </w:rPr>
        <w:t>元</w:t>
      </w:r>
      <w:r>
        <w:rPr>
          <w:rFonts w:hint="eastAsia" w:ascii="仿宋_GB2312" w:hAnsi="仿宋_GB2312" w:eastAsia="仿宋_GB2312" w:cs="仿宋_GB2312"/>
          <w:sz w:val="32"/>
          <w:szCs w:val="32"/>
          <w:u w:val="single"/>
          <w:lang w:val="en-US" w:eastAsia="zh-CN"/>
        </w:rPr>
        <w:t xml:space="preserve">；小写：         </w:t>
      </w:r>
      <w:r>
        <w:rPr>
          <w:rFonts w:hint="eastAsia" w:ascii="仿宋_GB2312" w:hAnsi="仿宋_GB2312" w:eastAsia="仿宋_GB2312" w:cs="仿宋_GB2312"/>
          <w:sz w:val="32"/>
          <w:szCs w:val="32"/>
          <w:u w:val="none"/>
          <w:lang w:val="en-US" w:eastAsia="zh-CN"/>
        </w:rPr>
        <w:t>元，</w:t>
      </w:r>
      <w:r>
        <w:rPr>
          <w:rFonts w:hint="eastAsia" w:ascii="仿宋_GB2312" w:hAnsi="仿宋_GB2312" w:eastAsia="仿宋_GB2312" w:cs="仿宋_GB2312"/>
          <w:sz w:val="32"/>
          <w:szCs w:val="32"/>
          <w:lang w:val="en-US" w:eastAsia="zh-CN"/>
        </w:rPr>
        <w:t>竣工</w:t>
      </w:r>
      <w:r>
        <w:rPr>
          <w:rFonts w:hint="eastAsia" w:ascii="仿宋_GB2312" w:hAnsi="仿宋_GB2312" w:eastAsia="仿宋_GB2312" w:cs="仿宋_GB2312"/>
          <w:sz w:val="32"/>
          <w:szCs w:val="32"/>
        </w:rPr>
        <w:t>验收合格后10个工作日内支付</w:t>
      </w:r>
      <w:r>
        <w:rPr>
          <w:rFonts w:hint="eastAsia" w:ascii="仿宋_GB2312" w:hAnsi="仿宋_GB2312" w:eastAsia="仿宋_GB2312" w:cs="仿宋_GB2312"/>
          <w:sz w:val="32"/>
          <w:szCs w:val="32"/>
          <w:lang w:val="en-US" w:eastAsia="zh-CN"/>
        </w:rPr>
        <w:t>合同总金额</w:t>
      </w:r>
      <w:r>
        <w:rPr>
          <w:rFonts w:hint="eastAsia" w:ascii="仿宋_GB2312" w:hAnsi="仿宋_GB2312" w:eastAsia="仿宋_GB2312" w:cs="仿宋_GB2312"/>
          <w:color w:val="FF0000"/>
          <w:sz w:val="32"/>
          <w:szCs w:val="32"/>
          <w:u w:val="single"/>
          <w:lang w:eastAsia="zh-CN"/>
        </w:rPr>
        <w:t>（</w:t>
      </w:r>
      <w:r>
        <w:rPr>
          <w:rFonts w:hint="eastAsia" w:ascii="仿宋_GB2312" w:hAnsi="仿宋_GB2312" w:eastAsia="仿宋_GB2312" w:cs="仿宋_GB2312"/>
          <w:color w:val="FF0000"/>
          <w:sz w:val="32"/>
          <w:szCs w:val="32"/>
          <w:u w:val="single"/>
          <w:lang w:val="en-US" w:eastAsia="zh-CN"/>
        </w:rPr>
        <w:t>合同最终金额以第三方机构出具的审计报告中，审定金额为准）</w:t>
      </w:r>
      <w:r>
        <w:rPr>
          <w:rFonts w:hint="eastAsia" w:asciiTheme="majorEastAsia" w:hAnsiTheme="majorEastAsia" w:eastAsiaTheme="majorEastAsia" w:cstheme="majorEastAsia"/>
          <w:sz w:val="32"/>
          <w:szCs w:val="32"/>
          <w:lang w:val="en-US" w:eastAsia="zh-CN"/>
        </w:rPr>
        <w:t>47%</w:t>
      </w:r>
      <w:r>
        <w:rPr>
          <w:rFonts w:hint="eastAsia" w:ascii="仿宋_GB2312" w:hAnsi="仿宋_GB2312" w:eastAsia="仿宋_GB2312" w:cs="仿宋_GB2312"/>
          <w:sz w:val="32"/>
          <w:szCs w:val="32"/>
          <w:lang w:val="en-US" w:eastAsia="zh-CN"/>
        </w:rPr>
        <w:t>（金额：</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元），剩余合同总金额的</w:t>
      </w:r>
      <w:r>
        <w:rPr>
          <w:rFonts w:hint="eastAsia" w:asciiTheme="majorEastAsia" w:hAnsiTheme="majorEastAsia" w:eastAsiaTheme="majorEastAsia" w:cstheme="majorEastAsia"/>
          <w:sz w:val="32"/>
          <w:szCs w:val="32"/>
          <w:lang w:val="en-US" w:eastAsia="zh-CN"/>
        </w:rPr>
        <w:t>3%</w:t>
      </w:r>
      <w:r>
        <w:rPr>
          <w:rFonts w:hint="eastAsia" w:ascii="仿宋_GB2312" w:hAnsi="仿宋_GB2312" w:eastAsia="仿宋_GB2312" w:cs="仿宋_GB2312"/>
          <w:sz w:val="32"/>
          <w:szCs w:val="32"/>
          <w:lang w:val="en-US" w:eastAsia="zh-CN"/>
        </w:rPr>
        <w:t>共计</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元作为质保金，于工程验收合格后的1年质保期满后10日内无息一次性支付。</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二、乙方账户信息</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账户名称：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账户：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开户银行：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第七条 工程质量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color w:val="0000FF"/>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color w:val="auto"/>
          <w:sz w:val="32"/>
          <w:szCs w:val="32"/>
          <w:lang w:eastAsia="zh-CN"/>
        </w:rPr>
        <w:t>乙方在</w:t>
      </w:r>
      <w:r>
        <w:rPr>
          <w:rFonts w:hint="eastAsia" w:ascii="仿宋_GB2312" w:hAnsi="仿宋_GB2312" w:eastAsia="仿宋_GB2312" w:cs="仿宋_GB2312"/>
          <w:color w:val="auto"/>
          <w:sz w:val="32"/>
          <w:szCs w:val="32"/>
        </w:rPr>
        <w:t>进场前一日，</w:t>
      </w:r>
      <w:r>
        <w:rPr>
          <w:rFonts w:hint="eastAsia" w:ascii="仿宋_GB2312" w:hAnsi="仿宋_GB2312" w:eastAsia="仿宋_GB2312" w:cs="仿宋_GB2312"/>
          <w:color w:val="auto"/>
          <w:sz w:val="32"/>
          <w:szCs w:val="32"/>
          <w:lang w:eastAsia="zh-CN"/>
        </w:rPr>
        <w:t>了解甲方</w:t>
      </w:r>
      <w:r>
        <w:rPr>
          <w:rFonts w:hint="eastAsia" w:ascii="仿宋_GB2312" w:hAnsi="仿宋_GB2312" w:eastAsia="仿宋_GB2312" w:cs="仿宋_GB2312"/>
          <w:color w:val="auto"/>
          <w:sz w:val="32"/>
          <w:szCs w:val="32"/>
        </w:rPr>
        <w:t>提出必要的要求</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向甲方提交书面的施工方案</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二、涉及隐蔽工程的，在工程隐蔽前，乙方应当通知甲方到场验收。验收不合格的，乙方应整改后重新验收。</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三、乙方保证工程符合国家工程建设相关技术标准。</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四、本工程使用的辅材必须符合国家相关质量标准的规定。</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第八条 验收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一、工程完工后，乙方应通知甲方验收，甲方自接到验收通知</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日内组织甲乙双方共同验收。</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二、如未达到合同规定的验收质量标准乙方在指定期限内无偿返工</w:t>
      </w:r>
      <w:r>
        <w:rPr>
          <w:rFonts w:hint="eastAsia" w:ascii="仿宋_GB2312" w:hAnsi="仿宋_GB2312" w:eastAsia="仿宋_GB2312" w:cs="仿宋_GB2312"/>
          <w:sz w:val="32"/>
          <w:szCs w:val="32"/>
          <w:lang w:val="en-US" w:eastAsia="zh-CN"/>
        </w:rPr>
        <w:t>并赔偿甲方的损失</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第九条 质量保修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color w:val="auto"/>
          <w:sz w:val="32"/>
          <w:szCs w:val="32"/>
          <w:lang w:eastAsia="zh-CN"/>
        </w:rPr>
        <w:t>保修期从验收合格之日起</w:t>
      </w:r>
      <w:r>
        <w:rPr>
          <w:rFonts w:hint="eastAsia" w:ascii="仿宋_GB2312" w:hAnsi="仿宋_GB2312" w:eastAsia="仿宋_GB2312" w:cs="仿宋_GB2312"/>
          <w:color w:val="auto"/>
          <w:sz w:val="32"/>
          <w:szCs w:val="32"/>
          <w:lang w:val="en-US" w:eastAsia="zh-CN"/>
        </w:rPr>
        <w:t>1年，</w:t>
      </w:r>
      <w:r>
        <w:rPr>
          <w:rFonts w:hint="eastAsia" w:ascii="仿宋_GB2312" w:hAnsi="仿宋_GB2312" w:eastAsia="仿宋_GB2312" w:cs="仿宋_GB2312"/>
          <w:sz w:val="32"/>
          <w:szCs w:val="32"/>
        </w:rPr>
        <w:t>乙方负责该区域内建设施工期内的保修，做出质量保修承诺。若乙方不负责保修，</w:t>
      </w:r>
      <w:r>
        <w:rPr>
          <w:rFonts w:hint="eastAsia" w:ascii="仿宋_GB2312" w:hAnsi="仿宋_GB2312" w:eastAsia="仿宋_GB2312" w:cs="仿宋_GB2312"/>
          <w:sz w:val="32"/>
          <w:szCs w:val="32"/>
          <w:lang w:eastAsia="zh-CN"/>
        </w:rPr>
        <w:t>由乙方承担全部</w:t>
      </w:r>
      <w:r>
        <w:rPr>
          <w:rFonts w:hint="eastAsia" w:ascii="仿宋_GB2312" w:hAnsi="仿宋_GB2312" w:eastAsia="仿宋_GB2312" w:cs="仿宋_GB2312"/>
          <w:sz w:val="32"/>
          <w:szCs w:val="32"/>
        </w:rPr>
        <w:t>费用。</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二、保修期间，符合保修条件的，乙方均应当在接到甲方发出的书面保修通知后在限定时间内维修破坏的部分。</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第十条 甲方权利和义务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一、开工前向乙方</w:t>
      </w:r>
      <w:r>
        <w:rPr>
          <w:rFonts w:hint="eastAsia" w:ascii="仿宋_GB2312" w:hAnsi="仿宋_GB2312" w:eastAsia="仿宋_GB2312" w:cs="仿宋_GB2312"/>
          <w:sz w:val="32"/>
          <w:szCs w:val="32"/>
          <w:lang w:eastAsia="zh-CN"/>
        </w:rPr>
        <w:t>提供</w:t>
      </w:r>
      <w:r>
        <w:rPr>
          <w:rFonts w:hint="eastAsia" w:ascii="仿宋_GB2312" w:hAnsi="仿宋_GB2312" w:eastAsia="仿宋_GB2312" w:cs="仿宋_GB2312"/>
          <w:sz w:val="32"/>
          <w:szCs w:val="32"/>
          <w:lang w:val="en-US" w:eastAsia="zh-CN"/>
        </w:rPr>
        <w:t>施工图纸</w:t>
      </w:r>
      <w:r>
        <w:rPr>
          <w:rFonts w:hint="eastAsia" w:ascii="仿宋_GB2312" w:hAnsi="仿宋_GB2312" w:eastAsia="仿宋_GB2312" w:cs="仿宋_GB2312"/>
          <w:color w:val="auto"/>
          <w:sz w:val="32"/>
          <w:szCs w:val="32"/>
          <w:lang w:eastAsia="zh-CN"/>
        </w:rPr>
        <w:t>方案</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最终方案</w:t>
      </w:r>
      <w:r>
        <w:rPr>
          <w:rFonts w:hint="eastAsia" w:ascii="仿宋_GB2312" w:hAnsi="仿宋_GB2312" w:eastAsia="仿宋_GB2312" w:cs="仿宋_GB2312"/>
          <w:color w:val="auto"/>
          <w:sz w:val="32"/>
          <w:szCs w:val="32"/>
        </w:rPr>
        <w:t>应经</w:t>
      </w:r>
      <w:r>
        <w:rPr>
          <w:rFonts w:hint="eastAsia" w:ascii="仿宋_GB2312" w:hAnsi="仿宋_GB2312" w:eastAsia="仿宋_GB2312" w:cs="仿宋_GB2312"/>
          <w:sz w:val="32"/>
          <w:szCs w:val="32"/>
        </w:rPr>
        <w:t>双方现场确认。</w:t>
      </w:r>
    </w:p>
    <w:p>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二、甲方对工程质量、进度进行监督并负责确认工程。</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第十一条 乙方权利和义务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一、乙方配合有关部门做好现场安全防护、安全设施和垃圾处理等工作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lang w:eastAsia="zh-CN"/>
        </w:rPr>
        <w:t>施工期间现场安全责任由乙方负责</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二、参加甲方组织的现场交底。</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三、遵守国家或地方政府对施工现场管理的规定，妥善保护好施工开挖过程中遇到的周围建筑物、设备管线。</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四、乙方在施工过程中，违反有关安全操作规程或条例等原因导致发生的质量事故、安全事故，乙方应承担全部责任及由此造成的一切损失。甲方不</w:t>
      </w:r>
      <w:r>
        <w:rPr>
          <w:rFonts w:hint="eastAsia" w:ascii="仿宋_GB2312" w:hAnsi="仿宋_GB2312" w:eastAsia="仿宋_GB2312" w:cs="仿宋_GB2312"/>
          <w:sz w:val="32"/>
          <w:szCs w:val="32"/>
          <w:lang w:eastAsia="zh-CN"/>
        </w:rPr>
        <w:t>负</w:t>
      </w:r>
      <w:bookmarkStart w:id="1" w:name="_GoBack"/>
      <w:bookmarkEnd w:id="1"/>
      <w:r>
        <w:rPr>
          <w:rFonts w:hint="eastAsia" w:ascii="仿宋_GB2312" w:hAnsi="仿宋_GB2312" w:eastAsia="仿宋_GB2312" w:cs="仿宋_GB2312"/>
          <w:sz w:val="32"/>
          <w:szCs w:val="32"/>
        </w:rPr>
        <w:t>任何连带责任。</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五、乙方应具有相关的建筑施工资质。</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第十二条 违约责任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一、由于乙方原因逾期完工的，每逾期一日，乙方支付甲方本工程价款3%的违约金。</w:t>
      </w:r>
    </w:p>
    <w:p>
      <w:pPr>
        <w:pStyle w:val="2"/>
        <w:keepNext w:val="0"/>
        <w:keepLines w:val="0"/>
        <w:pageBreakBefore w:val="0"/>
        <w:widowControl w:val="0"/>
        <w:kinsoku/>
        <w:wordWrap/>
        <w:overflowPunct/>
        <w:topLinePunct w:val="0"/>
        <w:autoSpaceDE/>
        <w:autoSpaceDN/>
        <w:bidi w:val="0"/>
        <w:spacing w:after="0" w:line="556" w:lineRule="exact"/>
        <w:ind w:left="0" w:leftChars="0" w:firstLine="56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任何一方有其他违反本合同情形的，应向守约方支付合同总金额20%的违约</w:t>
      </w:r>
      <w:r>
        <w:rPr>
          <w:rFonts w:hint="eastAsia" w:ascii="仿宋_GB2312" w:hAnsi="仿宋_GB2312" w:eastAsia="仿宋_GB2312" w:cs="仿宋_GB2312"/>
          <w:sz w:val="32"/>
          <w:szCs w:val="32"/>
          <w:lang w:val="en-US" w:eastAsia="zh-CN"/>
        </w:rPr>
        <w:t>金</w:t>
      </w:r>
      <w:r>
        <w:rPr>
          <w:rFonts w:hint="eastAsia" w:ascii="仿宋_GB2312" w:hAnsi="仿宋_GB2312" w:eastAsia="仿宋_GB2312" w:cs="仿宋_GB2312"/>
          <w:sz w:val="32"/>
          <w:szCs w:val="32"/>
        </w:rPr>
        <w:t>并赔偿守约方全部损失。</w:t>
      </w:r>
    </w:p>
    <w:p>
      <w:pPr>
        <w:pStyle w:val="2"/>
        <w:keepNext w:val="0"/>
        <w:keepLines w:val="0"/>
        <w:pageBreakBefore w:val="0"/>
        <w:widowControl w:val="0"/>
        <w:kinsoku/>
        <w:wordWrap/>
        <w:overflowPunct/>
        <w:topLinePunct w:val="0"/>
        <w:autoSpaceDE/>
        <w:autoSpaceDN/>
        <w:bidi w:val="0"/>
        <w:spacing w:after="0" w:line="556" w:lineRule="exact"/>
        <w:ind w:left="0" w:leftChars="0" w:firstLine="56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合同中的全部损失包括但不限于对守约方所造成的直接损失、可得利益损失、守约方支付给第三方的赔偿费用/违约金/罚款、调查取证费用/公证费/鉴定费用、诉讼仲裁费用、保全费用、律师费用、维权费用以及其他合理费用。</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第十三条 合同的生效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本合同自双方签字</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rPr>
        <w:t>盖章之日起生效。合同所附附件与本合同具有同等效力。本合同一式</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份，双方各执</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份。</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 xml:space="preserve">条 争议解决方式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双方发生争议的，可协商解决，协商不成</w:t>
      </w:r>
      <w:r>
        <w:rPr>
          <w:rFonts w:hint="eastAsia" w:ascii="仿宋_GB2312" w:hAnsi="仿宋_GB2312" w:eastAsia="仿宋_GB2312" w:cs="仿宋_GB2312"/>
          <w:sz w:val="32"/>
          <w:szCs w:val="32"/>
          <w:lang w:val="en-US" w:eastAsia="zh-CN"/>
        </w:rPr>
        <w:t>应</w:t>
      </w:r>
      <w:r>
        <w:rPr>
          <w:rFonts w:hint="eastAsia" w:ascii="仿宋_GB2312" w:hAnsi="仿宋_GB2312" w:eastAsia="仿宋_GB2312" w:cs="仿宋_GB2312"/>
          <w:sz w:val="32"/>
          <w:szCs w:val="32"/>
        </w:rPr>
        <w:t>向甲方所在地人民法院提起诉讼。</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val="en-US" w:eastAsia="zh-CN"/>
        </w:rPr>
        <w:t>五</w:t>
      </w:r>
      <w:r>
        <w:rPr>
          <w:rFonts w:hint="eastAsia" w:ascii="黑体" w:hAnsi="黑体" w:eastAsia="黑体" w:cs="黑体"/>
          <w:b w:val="0"/>
          <w:bCs w:val="0"/>
          <w:sz w:val="32"/>
          <w:szCs w:val="32"/>
        </w:rPr>
        <w:t xml:space="preserve">条 付款方式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乙方应出具经甲方财务认可的国家正式发票办理付款，否则甲方有权拒付。乙方在施工过程中，若因村民闹事而影响施工的一切行为均由乙方自行解决，不得因此而影响施工进度</w:t>
      </w:r>
      <w:r>
        <w:rPr>
          <w:rFonts w:hint="eastAsia" w:ascii="仿宋_GB2312" w:hAnsi="仿宋_GB2312" w:eastAsia="仿宋_GB2312" w:cs="仿宋_GB2312"/>
          <w:sz w:val="32"/>
          <w:szCs w:val="32"/>
          <w:lang w:val="en-US" w:eastAsia="zh-CN"/>
        </w:rPr>
        <w:t>及工期</w:t>
      </w:r>
      <w:r>
        <w:rPr>
          <w:rFonts w:hint="eastAsia" w:ascii="仿宋_GB2312" w:hAnsi="仿宋_GB2312" w:eastAsia="仿宋_GB2312" w:cs="仿宋_GB2312"/>
          <w:sz w:val="32"/>
          <w:szCs w:val="32"/>
        </w:rPr>
        <w:t>，且不能转嫁给甲方，由此造成的一切费用均由乙方承担。</w:t>
      </w:r>
    </w:p>
    <w:p>
      <w:pPr>
        <w:keepNext w:val="0"/>
        <w:keepLines w:val="0"/>
        <w:pageBreakBefore w:val="0"/>
        <w:widowControl w:val="0"/>
        <w:kinsoku/>
        <w:wordWrap/>
        <w:overflowPunct/>
        <w:topLinePunct w:val="0"/>
        <w:autoSpaceDE/>
        <w:autoSpaceDN/>
        <w:bidi w:val="0"/>
        <w:spacing w:line="556" w:lineRule="exact"/>
        <w:textAlignment w:val="auto"/>
        <w:rPr>
          <w:rFonts w:hint="eastAsia"/>
          <w:sz w:val="32"/>
          <w:szCs w:val="32"/>
        </w:rPr>
      </w:pPr>
      <w:r>
        <w:rPr>
          <w:rFonts w:hint="eastAsia"/>
          <w:sz w:val="32"/>
          <w:szCs w:val="32"/>
        </w:rPr>
        <w:t xml:space="preserve">甲方：         </w:t>
      </w:r>
      <w:r>
        <w:rPr>
          <w:rFonts w:hint="eastAsia"/>
          <w:sz w:val="32"/>
          <w:szCs w:val="32"/>
          <w:lang w:val="en-US" w:eastAsia="zh-CN"/>
        </w:rPr>
        <w:t xml:space="preserve">              </w:t>
      </w:r>
      <w:r>
        <w:rPr>
          <w:rFonts w:hint="eastAsia"/>
          <w:sz w:val="32"/>
          <w:szCs w:val="32"/>
        </w:rPr>
        <w:t xml:space="preserve">乙 方： </w:t>
      </w:r>
    </w:p>
    <w:p>
      <w:pPr>
        <w:keepNext w:val="0"/>
        <w:keepLines w:val="0"/>
        <w:pageBreakBefore w:val="0"/>
        <w:widowControl w:val="0"/>
        <w:kinsoku/>
        <w:wordWrap/>
        <w:overflowPunct/>
        <w:topLinePunct w:val="0"/>
        <w:autoSpaceDE/>
        <w:autoSpaceDN/>
        <w:bidi w:val="0"/>
        <w:spacing w:line="556" w:lineRule="exact"/>
        <w:textAlignment w:val="auto"/>
        <w:rPr>
          <w:rFonts w:hint="eastAsia"/>
          <w:sz w:val="32"/>
          <w:szCs w:val="32"/>
        </w:rPr>
      </w:pPr>
      <w:r>
        <w:rPr>
          <w:rFonts w:hint="eastAsia"/>
          <w:sz w:val="32"/>
          <w:szCs w:val="32"/>
        </w:rPr>
        <w:t xml:space="preserve">代理人：             </w:t>
      </w:r>
      <w:r>
        <w:rPr>
          <w:rFonts w:hint="eastAsia"/>
          <w:sz w:val="32"/>
          <w:szCs w:val="32"/>
          <w:lang w:val="en-US" w:eastAsia="zh-CN"/>
        </w:rPr>
        <w:t xml:space="preserve">        </w:t>
      </w:r>
      <w:r>
        <w:rPr>
          <w:rFonts w:hint="eastAsia"/>
          <w:sz w:val="32"/>
          <w:szCs w:val="32"/>
        </w:rPr>
        <w:t xml:space="preserve">代理人：   </w:t>
      </w:r>
    </w:p>
    <w:p>
      <w:pPr>
        <w:keepNext w:val="0"/>
        <w:keepLines w:val="0"/>
        <w:pageBreakBefore w:val="0"/>
        <w:widowControl w:val="0"/>
        <w:kinsoku/>
        <w:wordWrap/>
        <w:overflowPunct/>
        <w:topLinePunct w:val="0"/>
        <w:autoSpaceDE/>
        <w:autoSpaceDN/>
        <w:bidi w:val="0"/>
        <w:spacing w:line="556" w:lineRule="exact"/>
        <w:textAlignment w:val="auto"/>
        <w:rPr>
          <w:rFonts w:hint="eastAsia"/>
          <w:sz w:val="32"/>
          <w:szCs w:val="32"/>
        </w:rPr>
      </w:pPr>
      <w:r>
        <w:rPr>
          <w:rFonts w:hint="eastAsia"/>
          <w:sz w:val="32"/>
          <w:szCs w:val="32"/>
        </w:rPr>
        <w:t xml:space="preserve">电 话：              </w:t>
      </w:r>
      <w:r>
        <w:rPr>
          <w:rFonts w:hint="eastAsia"/>
          <w:sz w:val="32"/>
          <w:szCs w:val="32"/>
          <w:lang w:val="en-US" w:eastAsia="zh-CN"/>
        </w:rPr>
        <w:t xml:space="preserve">        </w:t>
      </w:r>
      <w:r>
        <w:rPr>
          <w:rFonts w:hint="eastAsia"/>
          <w:sz w:val="32"/>
          <w:szCs w:val="32"/>
        </w:rPr>
        <w:t xml:space="preserve">电 话：   </w:t>
      </w:r>
    </w:p>
    <w:p>
      <w:pPr>
        <w:shd w:val="clear" w:color="auto" w:fill="auto"/>
        <w:rPr>
          <w:rFonts w:hint="eastAsia" w:ascii="仿宋_GB2312" w:hAnsi="仿宋_GB2312" w:eastAsia="仿宋_GB2312" w:cs="仿宋_GB2312"/>
          <w:sz w:val="32"/>
          <w:szCs w:val="32"/>
          <w:lang w:val="en-US" w:eastAsia="zh-CN"/>
        </w:rPr>
      </w:pPr>
      <w:r>
        <w:rPr>
          <w:rFonts w:hint="eastAsia"/>
          <w:sz w:val="32"/>
          <w:szCs w:val="32"/>
        </w:rPr>
        <w:t xml:space="preserve">日 期：              </w:t>
      </w:r>
      <w:r>
        <w:rPr>
          <w:rFonts w:hint="eastAsia"/>
          <w:sz w:val="32"/>
          <w:szCs w:val="32"/>
          <w:lang w:val="en-US" w:eastAsia="zh-CN"/>
        </w:rPr>
        <w:t xml:space="preserve">        </w:t>
      </w:r>
      <w:r>
        <w:rPr>
          <w:rFonts w:hint="eastAsia"/>
          <w:sz w:val="32"/>
          <w:szCs w:val="32"/>
        </w:rPr>
        <w:t xml:space="preserve">日 期： </w:t>
      </w:r>
    </w:p>
    <w:sectPr>
      <w:footerReference r:id="rId6" w:type="default"/>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BDE9AD9-4FAA-4DD1-A55B-A989B7258A7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仿宋_GB2312">
    <w:panose1 w:val="02010609030101010101"/>
    <w:charset w:val="86"/>
    <w:family w:val="auto"/>
    <w:pitch w:val="default"/>
    <w:sig w:usb0="00000001" w:usb1="080E0000" w:usb2="00000000" w:usb3="00000000" w:csb0="00040000" w:csb1="00000000"/>
    <w:embedRegular r:id="rId2" w:fontKey="{89C438A1-1B3B-4802-B895-B8A5872D612E}"/>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3" w:fontKey="{4DE87654-C96A-4EB9-9E7B-35EF196C667A}"/>
  </w:font>
  <w:font w:name="方正仿宋_GB2312">
    <w:panose1 w:val="02000000000000000000"/>
    <w:charset w:val="86"/>
    <w:family w:val="auto"/>
    <w:pitch w:val="default"/>
    <w:sig w:usb0="A00002BF" w:usb1="184F6CFA" w:usb2="00000012" w:usb3="00000000" w:csb0="00040001" w:csb1="00000000"/>
  </w:font>
  <w:font w:name="方正小标宋简体">
    <w:panose1 w:val="02010601030101010101"/>
    <w:charset w:val="86"/>
    <w:family w:val="auto"/>
    <w:pitch w:val="default"/>
    <w:sig w:usb0="00000001" w:usb1="080E0000" w:usb2="0000000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29DC711B"/>
    <w:multiLevelType w:val="singleLevel"/>
    <w:tmpl w:val="29DC711B"/>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52F3AB7"/>
    <w:rsid w:val="052F3AB7"/>
    <w:rsid w:val="06AA22E5"/>
    <w:rsid w:val="11672464"/>
    <w:rsid w:val="12853ED2"/>
    <w:rsid w:val="134768DF"/>
    <w:rsid w:val="14224BF0"/>
    <w:rsid w:val="157342FC"/>
    <w:rsid w:val="161B669A"/>
    <w:rsid w:val="192B21B3"/>
    <w:rsid w:val="19E5114C"/>
    <w:rsid w:val="22FE0F30"/>
    <w:rsid w:val="241724D8"/>
    <w:rsid w:val="2581411A"/>
    <w:rsid w:val="2AEA3ED6"/>
    <w:rsid w:val="2BE21A2F"/>
    <w:rsid w:val="300C3A87"/>
    <w:rsid w:val="34086058"/>
    <w:rsid w:val="360C0D29"/>
    <w:rsid w:val="361719C1"/>
    <w:rsid w:val="37512F06"/>
    <w:rsid w:val="47044A64"/>
    <w:rsid w:val="499910CF"/>
    <w:rsid w:val="4BFA3450"/>
    <w:rsid w:val="4F59011B"/>
    <w:rsid w:val="50CA2BBB"/>
    <w:rsid w:val="557038BD"/>
    <w:rsid w:val="56976425"/>
    <w:rsid w:val="57752E80"/>
    <w:rsid w:val="57C16B81"/>
    <w:rsid w:val="5CE8493C"/>
    <w:rsid w:val="5FC15772"/>
    <w:rsid w:val="5FC15FA1"/>
    <w:rsid w:val="6104037C"/>
    <w:rsid w:val="64047E51"/>
    <w:rsid w:val="65D57BE0"/>
    <w:rsid w:val="6D4E5FC4"/>
    <w:rsid w:val="6D860727"/>
    <w:rsid w:val="71494FDF"/>
    <w:rsid w:val="732E26DE"/>
    <w:rsid w:val="769B58D2"/>
    <w:rsid w:val="7B965B1F"/>
    <w:rsid w:val="7C6E599F"/>
    <w:rsid w:val="7CEB202E"/>
    <w:rsid w:val="7DC87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paragraph" w:styleId="3">
    <w:name w:val="Body Text"/>
    <w:basedOn w:val="1"/>
    <w:next w:val="1"/>
    <w:autoRedefine/>
    <w:qFormat/>
    <w:uiPriority w:val="0"/>
    <w:rPr>
      <w:rFonts w:ascii="华文中宋" w:eastAsia="华文中宋"/>
      <w:bCs/>
      <w:sz w:val="28"/>
    </w:rPr>
  </w:style>
  <w:style w:type="paragraph" w:styleId="4">
    <w:name w:val="footer"/>
    <w:basedOn w:val="1"/>
    <w:autoRedefine/>
    <w:qFormat/>
    <w:uiPriority w:val="99"/>
    <w:pPr>
      <w:tabs>
        <w:tab w:val="center" w:pos="4153"/>
        <w:tab w:val="right" w:pos="8306"/>
      </w:tabs>
      <w:snapToGrid w:val="0"/>
      <w:jc w:val="left"/>
    </w:pPr>
    <w:rPr>
      <w:sz w:val="18"/>
      <w:szCs w:val="20"/>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autoRedefine/>
    <w:qFormat/>
    <w:uiPriority w:val="0"/>
  </w:style>
  <w:style w:type="character" w:customStyle="1" w:styleId="9">
    <w:name w:val="font01"/>
    <w:basedOn w:val="7"/>
    <w:autoRedefine/>
    <w:qFormat/>
    <w:uiPriority w:val="0"/>
    <w:rPr>
      <w:rFonts w:hint="eastAsia" w:ascii="宋体" w:hAnsi="宋体" w:eastAsia="宋体" w:cs="宋体"/>
      <w:color w:val="000000"/>
      <w:sz w:val="22"/>
      <w:szCs w:val="22"/>
      <w:u w:val="none"/>
    </w:rPr>
  </w:style>
  <w:style w:type="character" w:customStyle="1" w:styleId="10">
    <w:name w:val="font61"/>
    <w:basedOn w:val="7"/>
    <w:autoRedefine/>
    <w:qFormat/>
    <w:uiPriority w:val="0"/>
    <w:rPr>
      <w:rFonts w:hint="eastAsia" w:ascii="宋体" w:hAnsi="宋体" w:eastAsia="宋体" w:cs="宋体"/>
      <w:color w:val="FF0000"/>
      <w:sz w:val="22"/>
      <w:szCs w:val="22"/>
      <w:u w:val="none"/>
    </w:rPr>
  </w:style>
  <w:style w:type="character" w:customStyle="1" w:styleId="11">
    <w:name w:val="font51"/>
    <w:basedOn w:val="7"/>
    <w:autoRedefine/>
    <w:qFormat/>
    <w:uiPriority w:val="0"/>
    <w:rPr>
      <w:rFonts w:hint="eastAsia" w:ascii="宋体" w:hAnsi="宋体" w:eastAsia="宋体" w:cs="宋体"/>
      <w:color w:val="000000"/>
      <w:sz w:val="20"/>
      <w:szCs w:val="20"/>
      <w:u w:val="none"/>
    </w:rPr>
  </w:style>
  <w:style w:type="character" w:customStyle="1" w:styleId="12">
    <w:name w:val="font71"/>
    <w:basedOn w:val="7"/>
    <w:autoRedefine/>
    <w:qFormat/>
    <w:uiPriority w:val="0"/>
    <w:rPr>
      <w:rFonts w:hint="eastAsia" w:ascii="宋体" w:hAnsi="宋体" w:eastAsia="宋体" w:cs="宋体"/>
      <w:color w:val="FF0000"/>
      <w:sz w:val="20"/>
      <w:szCs w:val="20"/>
      <w:u w:val="none"/>
    </w:rPr>
  </w:style>
  <w:style w:type="table" w:customStyle="1" w:styleId="13">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4318</Words>
  <Characters>5739</Characters>
  <Lines>0</Lines>
  <Paragraphs>0</Paragraphs>
  <TotalTime>1</TotalTime>
  <ScaleCrop>false</ScaleCrop>
  <LinksUpToDate>false</LinksUpToDate>
  <CharactersWithSpaces>6244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2024-02-22T06:22:00Z</cp:lastPrinted>
  <dcterms:modified xsi:type="dcterms:W3CDTF">2024-05-22T07:07:09Z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76C9A4773B63434B9FC51B57D37D2DB1_11</vt:lpwstr>
  </property>
</Properties>
</file>