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为中坝菌菇酱油·2024“太白杯”江油马拉松暨“跑遍四川”绵阳站赛事提供交通管制设施设备供应服务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交通管制设施设备供应服务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（包括铁马扎、锥桶、安检门、安保人员等）详见采购清单明细表。</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highlight w:val="none"/>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交通管制设施设备供应服务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最高限</w:t>
      </w: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价为人名币84.79万元。</w:t>
      </w:r>
    </w:p>
    <w:p>
      <w:pPr>
        <w:pStyle w:val="2"/>
        <w:jc w:val="center"/>
        <w:rPr>
          <w:rFonts w:hint="eastAsia"/>
          <w:color w:val="auto"/>
          <w:sz w:val="32"/>
          <w:szCs w:val="28"/>
          <w:highlight w:val="none"/>
          <w:lang w:val="en-US" w:eastAsia="zh-CN"/>
        </w:rPr>
      </w:pPr>
      <w:r>
        <w:rPr>
          <w:rFonts w:hint="eastAsia"/>
          <w:color w:val="auto"/>
          <w:sz w:val="32"/>
          <w:szCs w:val="28"/>
          <w:highlight w:val="none"/>
          <w:lang w:val="en-US" w:eastAsia="zh-CN"/>
        </w:rPr>
        <w:t>采购清单明细表</w:t>
      </w: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根</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11930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锥桶</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60CM/高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个</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6281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隔离链条</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彩色链条</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8797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4</w:t>
            </w:r>
          </w:p>
        </w:tc>
        <w:tc>
          <w:tcPr>
            <w:tcW w:w="2085" w:type="dxa"/>
            <w:vMerge w:val="restart"/>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人工、马拉松当日两班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170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5</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6</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安保人员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8</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9</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安检门</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2230*835*580（主机750*255*445）</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14</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X光机</w:t>
            </w:r>
          </w:p>
        </w:tc>
        <w:tc>
          <w:tcPr>
            <w:tcW w:w="2790" w:type="dxa"/>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防爆罐</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(GA871-2010防爆罐）TNT1.5KG；罐体630*780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10</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防爆毯</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1600*1600（11.5KG)</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大小车辆租用台班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货车/客车</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铁马绑扎带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30/50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包</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50米/卷</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卷</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1000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交通警示标牌1</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交通警示标牌2</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2*3</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14</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交通警示标牌3</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0.9*1.2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15</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赛道道路护栏拆除及恢复</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护栏</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default"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w:t>
            </w:r>
            <w:r>
              <w:rPr>
                <w:rFonts w:hint="eastAsia" w:ascii="仿宋" w:hAnsi="仿宋" w:eastAsia="仿宋" w:cs="仿宋"/>
                <w:b w:val="0"/>
                <w:bCs w:val="0"/>
                <w:color w:val="auto"/>
                <w:sz w:val="20"/>
                <w:szCs w:val="20"/>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合计：</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4"/>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交货时间/工期要求</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合同签订后</w:t>
            </w:r>
            <w:r>
              <w:rPr>
                <w:rFonts w:hint="eastAsia" w:ascii="仿宋_GB2312" w:hAnsi="仿宋_GB2312" w:eastAsia="仿宋_GB2312" w:cs="仿宋_GB2312"/>
                <w:kern w:val="0"/>
                <w:sz w:val="32"/>
                <w:szCs w:val="32"/>
                <w:lang w:val="en-US" w:eastAsia="zh-CN"/>
              </w:rPr>
              <w:t>7天内</w:t>
            </w:r>
            <w:r>
              <w:rPr>
                <w:rFonts w:hint="eastAsia" w:ascii="仿宋_GB2312" w:hAnsi="仿宋_GB2312" w:eastAsia="仿宋_GB2312" w:cs="仿宋_GB2312"/>
                <w:kern w:val="0"/>
                <w:sz w:val="32"/>
                <w:szCs w:val="32"/>
                <w:lang w:val="zh-CN" w:eastAsia="zh-CN"/>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江油市体育馆至江油龙凤镇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pStyle w:val="4"/>
              <w:ind w:left="0" w:leftChars="0" w:firstLine="0" w:firstLineChars="0"/>
              <w:rPr>
                <w:rFonts w:hint="default"/>
                <w:lang w:val="en-US" w:eastAsia="zh-CN"/>
              </w:rPr>
            </w:pPr>
            <w:r>
              <w:rPr>
                <w:rFonts w:hint="eastAsia" w:hAnsi="仿宋_GB2312" w:cs="仿宋_GB2312"/>
                <w:kern w:val="0"/>
                <w:sz w:val="32"/>
                <w:szCs w:val="32"/>
                <w:lang w:val="en-US" w:eastAsia="zh-CN"/>
              </w:rPr>
              <w:t>按照项目清单对现场进行逐一验收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4</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其他</w:t>
            </w:r>
          </w:p>
        </w:tc>
        <w:tc>
          <w:tcPr>
            <w:tcW w:w="5807"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eastAsia" w:ascii="黑体" w:hAnsi="黑体" w:eastAsia="黑体" w:cs="黑体"/>
          <w:b w:val="0"/>
          <w:bCs w:val="0"/>
          <w:sz w:val="32"/>
          <w:szCs w:val="32"/>
          <w:u w:val="none" w:color="auto"/>
          <w:lang w:eastAsia="zh-CN"/>
        </w:rPr>
      </w:pPr>
    </w:p>
    <w:p>
      <w:pPr>
        <w:pStyle w:val="2"/>
        <w:rPr>
          <w:rFonts w:hint="eastAsia" w:ascii="黑体" w:hAnsi="黑体" w:eastAsia="黑体" w:cs="黑体"/>
          <w:b w:val="0"/>
          <w:bCs w:val="0"/>
          <w:sz w:val="32"/>
          <w:szCs w:val="32"/>
          <w:u w:val="none" w:color="auto"/>
          <w:lang w:eastAsia="zh-CN"/>
        </w:rPr>
      </w:pPr>
    </w:p>
    <w:p>
      <w:pPr>
        <w:pStyle w:val="2"/>
        <w:rPr>
          <w:rFonts w:hint="eastAsia"/>
          <w:lang w:eastAsia="zh-CN"/>
        </w:rPr>
      </w:pPr>
    </w:p>
    <w:p>
      <w:pPr>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交通管制设施设备供应服务项目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我方全面研究了“中坝菌菇酱油·2024“太白杯”江油马拉松暨“跑遍四川”绵阳站交通管制设施设备供应服务项目 ”，决定参加贵单位组织的本次比选，并自觉遵守采购相关规定，遵守采购规则，维护正常的采购秩序。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2"/>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根</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11930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锥桶</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60CM/高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个</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6281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隔离链条</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彩色链条</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8797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4</w:t>
            </w:r>
          </w:p>
        </w:tc>
        <w:tc>
          <w:tcPr>
            <w:tcW w:w="2085" w:type="dxa"/>
            <w:vMerge w:val="restart"/>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人工、马拉松当日两班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170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5</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6</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安保人员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8</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9</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安检门</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2230*835*580（主机750*255*445）</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14</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X光机</w:t>
            </w:r>
          </w:p>
        </w:tc>
        <w:tc>
          <w:tcPr>
            <w:tcW w:w="2790" w:type="dxa"/>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防爆罐</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(GA871-2010防爆罐）TNT1.5KG；罐体630*780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10</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防爆毯</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1600*1600（11.5KG)</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大小车辆租用台班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货车/客车</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铁马绑扎带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30/50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包</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50米/卷</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卷</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1000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交通警示标牌1</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交通警示标牌2</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2*3</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14</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交通警示标牌3</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0.9*1.2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15</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赛道道路护栏拆除及恢复</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护栏</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default"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w:t>
            </w:r>
            <w:r>
              <w:rPr>
                <w:rFonts w:hint="eastAsia" w:ascii="仿宋" w:hAnsi="仿宋" w:eastAsia="仿宋" w:cs="仿宋"/>
                <w:b w:val="0"/>
                <w:bCs w:val="0"/>
                <w:color w:val="auto"/>
                <w:sz w:val="20"/>
                <w:szCs w:val="20"/>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合计：</w:t>
            </w:r>
          </w:p>
        </w:tc>
      </w:tr>
    </w:tbl>
    <w:p>
      <w:pP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hint="default"/>
          <w:lang w:val="en-US" w:eastAsia="zh-CN"/>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t>江油博飞文化旅游开发集团有限公司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8</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合同签订后7日内完成货品交货及验收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4"/>
        <w:rPr>
          <w:rFonts w:hint="eastAsia"/>
        </w:rPr>
      </w:pPr>
    </w:p>
    <w:p>
      <w:pPr>
        <w:rPr>
          <w:rFonts w:hint="eastAsia"/>
        </w:rPr>
      </w:pPr>
    </w:p>
    <w:p>
      <w:pPr>
        <w:pStyle w:val="4"/>
        <w:rPr>
          <w:rFonts w:hint="eastAsia"/>
        </w:rPr>
      </w:pPr>
    </w:p>
    <w:p>
      <w:pPr>
        <w:rPr>
          <w:rFonts w:hint="eastAsia"/>
        </w:rPr>
      </w:pPr>
    </w:p>
    <w:p>
      <w:pPr>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4"/>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“星悦轩酒店布草采购项目”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中坝菌菇酱油·2024“太白杯”江油马拉松暨“跑遍四川”绵阳站交通管制设施设备供应服务项目租赁合同</w:t>
      </w:r>
    </w:p>
    <w:p>
      <w:pPr>
        <w:ind w:firstLine="1680" w:firstLineChars="600"/>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甲方：江油博飞文化旅游开发集团有限公司</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联系人：</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联系地址：</w:t>
      </w: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乙方：</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联系人：</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联系地址：</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根据《中华人民共和国</w:t>
      </w:r>
      <w:r>
        <w:rPr>
          <w:rFonts w:hint="eastAsia" w:ascii="宋体" w:hAnsi="宋体" w:cs="宋体"/>
          <w:sz w:val="28"/>
          <w:szCs w:val="28"/>
          <w:lang w:val="en-US" w:eastAsia="zh-CN"/>
        </w:rPr>
        <w:t>民法典</w:t>
      </w:r>
      <w:r>
        <w:rPr>
          <w:rFonts w:hint="eastAsia" w:ascii="宋体" w:hAnsi="宋体" w:eastAsia="宋体" w:cs="宋体"/>
          <w:sz w:val="28"/>
          <w:szCs w:val="28"/>
          <w:lang w:val="en-US" w:eastAsia="zh-CN"/>
        </w:rPr>
        <w:t>》等相关法律法规的规定，甲乙双方在平等自愿、互惠互利的基础上，为明确双方权利和义务，经双方协商一致，特签订以下合同条款：</w:t>
      </w:r>
    </w:p>
    <w:p>
      <w:pPr>
        <w:rPr>
          <w:rFonts w:hint="eastAsia" w:ascii="宋体" w:hAnsi="宋体" w:eastAsia="宋体" w:cs="宋体"/>
          <w:sz w:val="28"/>
          <w:szCs w:val="28"/>
        </w:rPr>
      </w:pPr>
      <w:r>
        <w:rPr>
          <w:rFonts w:hint="eastAsia" w:ascii="宋体" w:hAnsi="宋体" w:eastAsia="宋体" w:cs="宋体"/>
          <w:b/>
          <w:bCs/>
          <w:sz w:val="28"/>
          <w:szCs w:val="28"/>
          <w:lang w:val="en-US" w:eastAsia="zh-CN"/>
        </w:rPr>
        <w:t>一、</w:t>
      </w:r>
      <w:r>
        <w:rPr>
          <w:rFonts w:hint="eastAsia" w:ascii="宋体" w:hAnsi="宋体" w:eastAsia="宋体" w:cs="宋体"/>
          <w:sz w:val="28"/>
          <w:szCs w:val="28"/>
          <w:lang w:val="en-US" w:eastAsia="zh-CN"/>
        </w:rPr>
        <w:t>项目名称：中坝菌菇酱油·2024“太白杯”江油马拉松暨“跑遍四川”绵阳站交通管制设施设备供应服务项目</w:t>
      </w:r>
      <w:r>
        <w:rPr>
          <w:rFonts w:hint="eastAsia" w:ascii="宋体" w:hAnsi="宋体" w:eastAsia="宋体" w:cs="宋体"/>
          <w:sz w:val="28"/>
          <w:szCs w:val="28"/>
        </w:rPr>
        <w:t xml:space="preserve"> </w:t>
      </w:r>
    </w:p>
    <w:p>
      <w:pPr>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二、</w:t>
      </w:r>
      <w:r>
        <w:rPr>
          <w:rFonts w:hint="eastAsia" w:ascii="宋体" w:hAnsi="宋体" w:eastAsia="宋体" w:cs="宋体"/>
          <w:sz w:val="28"/>
          <w:szCs w:val="28"/>
          <w:lang w:val="en-US" w:eastAsia="zh-CN"/>
        </w:rPr>
        <w:t>项目地址：江油市体育馆至江油龙凤镇</w:t>
      </w:r>
    </w:p>
    <w:p>
      <w:pPr>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三、</w:t>
      </w:r>
      <w:r>
        <w:rPr>
          <w:rFonts w:hint="eastAsia" w:ascii="宋体" w:hAnsi="宋体" w:eastAsia="宋体" w:cs="宋体"/>
          <w:sz w:val="28"/>
          <w:szCs w:val="28"/>
          <w:lang w:val="en-US" w:eastAsia="zh-CN"/>
        </w:rPr>
        <w:t>活动现场布置时间：2024年  月  日进场，2024年  月  日  时前布置完毕，2024年  月  日   结束开始回收物品。</w:t>
      </w:r>
    </w:p>
    <w:p>
      <w:pPr>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四</w:t>
      </w:r>
      <w:r>
        <w:rPr>
          <w:rFonts w:hint="eastAsia" w:ascii="宋体" w:hAnsi="宋体" w:eastAsia="宋体" w:cs="宋体"/>
          <w:sz w:val="28"/>
          <w:szCs w:val="28"/>
          <w:lang w:val="en-US" w:eastAsia="zh-CN"/>
        </w:rPr>
        <w:t>、租赁物品及价格：</w:t>
      </w:r>
    </w:p>
    <w:p>
      <w:pPr>
        <w:rPr>
          <w:rFonts w:hint="eastAsia" w:ascii="宋体" w:hAnsi="宋体" w:eastAsia="宋体" w:cs="宋体"/>
          <w:b w:val="0"/>
          <w:bCs w:val="0"/>
          <w:i w:val="0"/>
          <w:iCs w:val="0"/>
          <w:color w:val="000000"/>
          <w:kern w:val="0"/>
          <w:sz w:val="28"/>
          <w:szCs w:val="28"/>
          <w:u w:val="single"/>
          <w:lang w:val="en-US" w:eastAsia="zh-CN" w:bidi="ar"/>
        </w:rPr>
      </w:pPr>
      <w:r>
        <w:rPr>
          <w:rFonts w:hint="eastAsia" w:ascii="宋体" w:hAnsi="宋体" w:eastAsia="宋体" w:cs="宋体"/>
          <w:sz w:val="28"/>
          <w:szCs w:val="28"/>
          <w:lang w:val="en-US" w:eastAsia="zh-CN"/>
        </w:rPr>
        <w:t>合同总价为</w:t>
      </w:r>
      <w:r>
        <w:rPr>
          <w:rFonts w:hint="eastAsia" w:ascii="宋体" w:hAnsi="宋体" w:eastAsia="宋体" w:cs="宋体"/>
          <w:b w:val="0"/>
          <w:bCs w:val="0"/>
          <w:sz w:val="28"/>
          <w:szCs w:val="28"/>
          <w:u w:val="single"/>
          <w:lang w:val="en-US" w:eastAsia="zh-CN"/>
        </w:rPr>
        <w:t>：</w:t>
      </w:r>
      <w:r>
        <w:rPr>
          <w:rFonts w:hint="eastAsia" w:ascii="宋体" w:hAnsi="宋体" w:eastAsia="宋体" w:cs="宋体"/>
          <w:b w:val="0"/>
          <w:bCs w:val="0"/>
          <w:i w:val="0"/>
          <w:iCs w:val="0"/>
          <w:color w:val="000000"/>
          <w:kern w:val="0"/>
          <w:sz w:val="28"/>
          <w:szCs w:val="28"/>
          <w:u w:val="single"/>
          <w:lang w:val="en-US" w:eastAsia="zh-CN" w:bidi="ar"/>
        </w:rPr>
        <w:t xml:space="preserve">     元，人民币大写：                         。</w:t>
      </w:r>
    </w:p>
    <w:p>
      <w:pPr>
        <w:rPr>
          <w:rFonts w:hint="eastAsia" w:ascii="宋体" w:hAnsi="宋体" w:eastAsia="宋体" w:cs="宋体"/>
          <w:b w:val="0"/>
          <w:bCs w:val="0"/>
          <w:i w:val="0"/>
          <w:iCs w:val="0"/>
          <w:color w:val="000000"/>
          <w:kern w:val="0"/>
          <w:sz w:val="28"/>
          <w:szCs w:val="28"/>
          <w:u w:val="none"/>
          <w:lang w:val="en-US" w:eastAsia="zh-CN" w:bidi="ar"/>
        </w:rPr>
      </w:pPr>
      <w:r>
        <w:rPr>
          <w:rFonts w:hint="eastAsia" w:ascii="宋体" w:hAnsi="宋体" w:eastAsia="宋体" w:cs="宋体"/>
          <w:b w:val="0"/>
          <w:bCs w:val="0"/>
          <w:i w:val="0"/>
          <w:iCs w:val="0"/>
          <w:color w:val="000000"/>
          <w:kern w:val="0"/>
          <w:sz w:val="28"/>
          <w:szCs w:val="28"/>
          <w:u w:val="none"/>
          <w:lang w:val="en-US" w:eastAsia="zh-CN" w:bidi="ar"/>
        </w:rPr>
        <w:t>详见下表：</w:t>
      </w: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根</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11930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锥桶</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60CM/高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个</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6281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隔离链条</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彩色链条</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8797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bookmarkStart w:id="1" w:name="_GoBack" w:colFirst="4" w:colLast="4"/>
            <w:r>
              <w:rPr>
                <w:rFonts w:hint="eastAsia" w:ascii="方正仿宋_GB2312" w:hAnsi="方正仿宋_GB2312" w:eastAsia="方正仿宋_GB2312" w:cs="方正仿宋_GB2312"/>
                <w:b w:val="0"/>
                <w:bCs w:val="0"/>
                <w:color w:val="auto"/>
                <w:sz w:val="20"/>
                <w:szCs w:val="20"/>
                <w:highlight w:val="none"/>
                <w:vertAlign w:val="baseline"/>
                <w:lang w:val="en-US" w:eastAsia="zh-CN"/>
              </w:rPr>
              <w:t>4</w:t>
            </w:r>
          </w:p>
        </w:tc>
        <w:tc>
          <w:tcPr>
            <w:tcW w:w="2085" w:type="dxa"/>
            <w:vMerge w:val="restart"/>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kern w:val="2"/>
                <w:sz w:val="20"/>
                <w:szCs w:val="20"/>
                <w:highlight w:val="none"/>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人工、马拉松当日两班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170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5</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6</w:t>
            </w:r>
          </w:p>
        </w:tc>
        <w:tc>
          <w:tcPr>
            <w:tcW w:w="2085" w:type="dxa"/>
            <w:vMerge w:val="continue"/>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男、女</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225</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安保人员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8</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马拉松当日两班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安检人员</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工日</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9</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安检门</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2230*835*580（主机750*255*445）</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14</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X光机</w:t>
            </w:r>
          </w:p>
        </w:tc>
        <w:tc>
          <w:tcPr>
            <w:tcW w:w="2790" w:type="dxa"/>
            <w:vAlign w:val="center"/>
          </w:tcPr>
          <w:p>
            <w:pPr>
              <w:jc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防爆罐</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(GA871-2010防爆罐）TNT1.5KG；罐体630*780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10</w:t>
            </w:r>
          </w:p>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防爆毯</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1600*1600（11.5KG)</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大小车辆租用台班</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货车/客车</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台班/次</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11</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铁马绑扎带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30/50</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包</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150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交通警示带</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50米/卷</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卷</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1000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12</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交通警示标牌1</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47</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13</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交通警示标牌2</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2*3</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13</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14</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交通警示标牌3</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0.9*1.2</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块</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21</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trPr>
        <w:tc>
          <w:tcPr>
            <w:tcW w:w="625" w:type="dxa"/>
            <w:vAlign w:val="center"/>
          </w:tcPr>
          <w:p>
            <w:pPr>
              <w:jc w:val="center"/>
              <w:rPr>
                <w:rFonts w:hint="eastAsia" w:ascii="方正仿宋_GB2312" w:hAnsi="方正仿宋_GB2312" w:eastAsia="方正仿宋_GB2312" w:cs="方正仿宋_GB2312"/>
                <w:b w:val="0"/>
                <w:bCs w:val="0"/>
                <w:color w:val="auto"/>
                <w:sz w:val="20"/>
                <w:szCs w:val="20"/>
                <w:highlight w:val="none"/>
                <w:vertAlign w:val="baseline"/>
                <w:lang w:val="en-US" w:eastAsia="zh-CN"/>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15</w:t>
            </w:r>
          </w:p>
        </w:tc>
        <w:tc>
          <w:tcPr>
            <w:tcW w:w="20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赛道道路护栏拆除及恢复</w:t>
            </w:r>
          </w:p>
        </w:tc>
        <w:tc>
          <w:tcPr>
            <w:tcW w:w="279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z w:val="20"/>
                <w:szCs w:val="20"/>
                <w:highlight w:val="none"/>
                <w:vertAlign w:val="baseline"/>
                <w:lang w:val="en-US" w:eastAsia="zh-CN"/>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护栏</w:t>
            </w:r>
          </w:p>
        </w:tc>
        <w:tc>
          <w:tcPr>
            <w:tcW w:w="72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米</w:t>
            </w:r>
          </w:p>
        </w:tc>
        <w:tc>
          <w:tcPr>
            <w:tcW w:w="1080"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r>
              <w:rPr>
                <w:rFonts w:hint="eastAsia" w:ascii="仿宋" w:hAnsi="仿宋" w:eastAsia="仿宋" w:cs="仿宋"/>
                <w:i w:val="0"/>
                <w:iCs w:val="0"/>
                <w:color w:val="auto"/>
                <w:spacing w:val="0"/>
                <w:w w:val="100"/>
                <w:kern w:val="0"/>
                <w:position w:val="0"/>
                <w:sz w:val="24"/>
                <w:szCs w:val="24"/>
                <w:highlight w:val="none"/>
                <w:u w:val="none"/>
                <w:shd w:val="clear" w:color="auto" w:fill="auto"/>
                <w:lang w:val="en-US" w:eastAsia="zh-CN" w:bidi="ar"/>
              </w:rPr>
              <w:t>300</w:t>
            </w:r>
          </w:p>
        </w:tc>
        <w:tc>
          <w:tcPr>
            <w:tcW w:w="1185"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c>
          <w:tcPr>
            <w:tcW w:w="1153" w:type="dxa"/>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val="0"/>
                <w:color w:val="auto"/>
                <w:spacing w:val="0"/>
                <w:w w:val="100"/>
                <w:position w:val="0"/>
                <w:sz w:val="20"/>
                <w:szCs w:val="20"/>
                <w:highlight w:val="none"/>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default"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小计</w:t>
            </w:r>
            <w:r>
              <w:rPr>
                <w:rFonts w:hint="eastAsia" w:ascii="仿宋" w:hAnsi="仿宋" w:eastAsia="仿宋" w:cs="仿宋"/>
                <w:b w:val="0"/>
                <w:bCs w:val="0"/>
                <w:color w:val="auto"/>
                <w:sz w:val="20"/>
                <w:szCs w:val="20"/>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highlight w:val="none"/>
                <w:shd w:val="clear" w:color="auto" w:fill="auto"/>
                <w:vertAlign w:val="baseline"/>
                <w:lang w:val="en-US" w:eastAsia="zh-CN" w:bidi="ar-SA"/>
              </w:rPr>
            </w:pPr>
            <w:r>
              <w:rPr>
                <w:rFonts w:hint="eastAsia" w:ascii="方正仿宋_GB2312" w:hAnsi="方正仿宋_GB2312" w:eastAsia="方正仿宋_GB2312" w:cs="方正仿宋_GB2312"/>
                <w:b w:val="0"/>
                <w:bCs w:val="0"/>
                <w:color w:val="auto"/>
                <w:sz w:val="20"/>
                <w:szCs w:val="20"/>
                <w:highlight w:val="none"/>
                <w:vertAlign w:val="baseline"/>
                <w:lang w:val="en-US" w:eastAsia="zh-CN"/>
              </w:rPr>
              <w:t>合计：</w:t>
            </w:r>
          </w:p>
        </w:tc>
      </w:tr>
    </w:tbl>
    <w:p>
      <w:pPr>
        <w:rPr>
          <w:rFonts w:hint="eastAsia" w:ascii="宋体" w:hAnsi="宋体" w:eastAsia="宋体" w:cs="宋体"/>
          <w:b w:val="0"/>
          <w:bCs w:val="0"/>
          <w:i w:val="0"/>
          <w:iCs w:val="0"/>
          <w:color w:val="000000"/>
          <w:kern w:val="0"/>
          <w:sz w:val="28"/>
          <w:szCs w:val="28"/>
          <w:u w:val="none"/>
          <w:lang w:val="en-US" w:eastAsia="zh-CN" w:bidi="ar"/>
        </w:rPr>
      </w:pPr>
    </w:p>
    <w:p>
      <w:pPr>
        <w:numPr>
          <w:ilvl w:val="0"/>
          <w:numId w:val="3"/>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付款方式及时间：</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项目结束后7个工作日内甲方以转账方式向乙方支付合同价款100%。</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六</w:t>
      </w:r>
      <w:r>
        <w:rPr>
          <w:rFonts w:hint="eastAsia" w:ascii="宋体" w:hAnsi="宋体" w:eastAsia="宋体" w:cs="宋体"/>
          <w:sz w:val="28"/>
          <w:szCs w:val="28"/>
          <w:lang w:val="en-US" w:eastAsia="zh-CN"/>
        </w:rPr>
        <w:t>、验收及提出异议期限</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甲方于乙方安装完毕后及时验收，对其品种、数量、质量当场确认或提出异议，未提出异议视同合格，甲方不得以自身的变化、天气的变化、未知数使用物品或提前结束活动时间等为理由，而拒付或减付租赁费用。</w:t>
      </w:r>
    </w:p>
    <w:p>
      <w:pPr>
        <w:numPr>
          <w:ilvl w:val="0"/>
          <w:numId w:val="4"/>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租用物品损坏后赔付方式：</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租用物品属正常使用而造成磨损或损坏，甲方无需赔偿</w:t>
      </w:r>
      <w:r>
        <w:rPr>
          <w:rFonts w:hint="eastAsia" w:ascii="宋体" w:hAnsi="宋体" w:cs="宋体"/>
          <w:sz w:val="28"/>
          <w:szCs w:val="28"/>
          <w:lang w:val="en-US" w:eastAsia="zh-CN"/>
        </w:rPr>
        <w:t>。</w:t>
      </w:r>
    </w:p>
    <w:p>
      <w:pPr>
        <w:numPr>
          <w:ilvl w:val="0"/>
          <w:numId w:val="4"/>
        </w:numPr>
        <w:ind w:left="0" w:leftChars="0" w:firstLine="0" w:firstLine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租用物品的摆放及使用要求：</w:t>
      </w:r>
    </w:p>
    <w:p>
      <w:pPr>
        <w:numPr>
          <w:ilvl w:val="0"/>
          <w:numId w:val="0"/>
        </w:numPr>
        <w:ind w:left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乙方按甲方的现场指挥摆放到位。</w:t>
      </w:r>
    </w:p>
    <w:p>
      <w:pPr>
        <w:numPr>
          <w:ilvl w:val="0"/>
          <w:numId w:val="4"/>
        </w:numPr>
        <w:ind w:left="0" w:leftChars="0" w:firstLine="0" w:firstLine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违约责任：</w:t>
      </w:r>
    </w:p>
    <w:p>
      <w:pPr>
        <w:numPr>
          <w:ilvl w:val="0"/>
          <w:numId w:val="0"/>
        </w:numPr>
        <w:ind w:left="280" w:left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（一）、甲方解除合同须赔付违约金总服务费的</w:t>
      </w:r>
      <w:r>
        <w:rPr>
          <w:rFonts w:hint="eastAsia" w:ascii="宋体" w:hAnsi="宋体" w:cs="宋体"/>
          <w:b w:val="0"/>
          <w:bCs w:val="0"/>
          <w:sz w:val="28"/>
          <w:szCs w:val="28"/>
          <w:lang w:val="en-US" w:eastAsia="zh-CN"/>
        </w:rPr>
        <w:t>1</w:t>
      </w:r>
      <w:r>
        <w:rPr>
          <w:rFonts w:hint="eastAsia" w:ascii="宋体" w:hAnsi="宋体" w:eastAsia="宋体" w:cs="宋体"/>
          <w:b w:val="0"/>
          <w:bCs w:val="0"/>
          <w:sz w:val="28"/>
          <w:szCs w:val="28"/>
          <w:lang w:val="en-US" w:eastAsia="zh-CN"/>
        </w:rPr>
        <w:t>0%。</w:t>
      </w:r>
    </w:p>
    <w:p>
      <w:pPr>
        <w:numPr>
          <w:ilvl w:val="0"/>
          <w:numId w:val="0"/>
        </w:numPr>
        <w:ind w:left="280" w:left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（二）、乙方不按时完成现场布置时，每推迟一小时应扣除总服务费的5%费用。</w:t>
      </w:r>
    </w:p>
    <w:p>
      <w:pPr>
        <w:numPr>
          <w:ilvl w:val="0"/>
          <w:numId w:val="0"/>
        </w:numPr>
        <w:ind w:left="280" w:leftChars="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（三）、甲方不按时结清服务费，除付清服务费外，还应每日向乙方赔付欠款的5%违约金。</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十、活动现场联系方式：</w:t>
      </w:r>
    </w:p>
    <w:p>
      <w:pPr>
        <w:numPr>
          <w:ilvl w:val="0"/>
          <w:numId w:val="0"/>
        </w:numPr>
        <w:rPr>
          <w:rFonts w:hint="eastAsia" w:ascii="宋体" w:hAnsi="宋体" w:eastAsia="宋体" w:cs="宋体"/>
          <w:b w:val="0"/>
          <w:bCs w:val="0"/>
          <w:sz w:val="28"/>
          <w:szCs w:val="28"/>
          <w:u w:val="single"/>
          <w:lang w:val="en-US" w:eastAsia="zh-CN"/>
        </w:rPr>
      </w:pPr>
      <w:r>
        <w:rPr>
          <w:rFonts w:hint="eastAsia" w:ascii="宋体" w:hAnsi="宋体" w:eastAsia="宋体" w:cs="宋体"/>
          <w:b w:val="0"/>
          <w:bCs w:val="0"/>
          <w:sz w:val="28"/>
          <w:szCs w:val="28"/>
          <w:lang w:val="en-US" w:eastAsia="zh-CN"/>
        </w:rPr>
        <w:t>（1）、甲方现场负责人姓名：</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lang w:val="en-US" w:eastAsia="zh-CN"/>
        </w:rPr>
        <w:t>联系方式：</w:t>
      </w:r>
      <w:r>
        <w:rPr>
          <w:rFonts w:hint="eastAsia" w:ascii="宋体" w:hAnsi="宋体" w:eastAsia="宋体" w:cs="宋体"/>
          <w:b w:val="0"/>
          <w:bCs w:val="0"/>
          <w:sz w:val="28"/>
          <w:szCs w:val="28"/>
          <w:u w:val="single"/>
          <w:lang w:val="en-US" w:eastAsia="zh-CN"/>
        </w:rPr>
        <w:t xml:space="preserve">        </w:t>
      </w:r>
    </w:p>
    <w:p>
      <w:pPr>
        <w:numPr>
          <w:ilvl w:val="0"/>
          <w:numId w:val="0"/>
        </w:numPr>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（2）、乙方现场负责人姓名：</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联系方式：</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 xml:space="preserve">     </w:t>
      </w:r>
    </w:p>
    <w:p>
      <w:pPr>
        <w:numPr>
          <w:ilvl w:val="0"/>
          <w:numId w:val="0"/>
        </w:numPr>
        <w:rPr>
          <w:rFonts w:hint="eastAsia" w:ascii="宋体" w:hAnsi="宋体" w:eastAsia="宋体" w:cs="宋体"/>
          <w:b w:val="0"/>
          <w:bCs w:val="0"/>
          <w:sz w:val="28"/>
          <w:szCs w:val="28"/>
          <w:u w:val="single"/>
          <w:lang w:val="en-US" w:eastAsia="zh-CN"/>
        </w:rPr>
      </w:pPr>
      <w:r>
        <w:rPr>
          <w:rFonts w:hint="eastAsia" w:ascii="宋体" w:hAnsi="宋体" w:eastAsia="宋体" w:cs="宋体"/>
          <w:b w:val="0"/>
          <w:bCs w:val="0"/>
          <w:sz w:val="28"/>
          <w:szCs w:val="28"/>
          <w:u w:val="none"/>
          <w:lang w:val="en-US" w:eastAsia="zh-CN"/>
        </w:rPr>
        <w:t xml:space="preserve">十一、其它约定事项： </w:t>
      </w:r>
      <w:r>
        <w:rPr>
          <w:rFonts w:hint="eastAsia" w:ascii="宋体" w:hAnsi="宋体" w:eastAsia="宋体" w:cs="宋体"/>
          <w:b w:val="0"/>
          <w:bCs w:val="0"/>
          <w:sz w:val="28"/>
          <w:szCs w:val="28"/>
          <w:u w:val="single"/>
          <w:lang w:val="en-US" w:eastAsia="zh-CN"/>
        </w:rPr>
        <w:t xml:space="preserve">                                 </w:t>
      </w:r>
    </w:p>
    <w:p>
      <w:pPr>
        <w:numPr>
          <w:ilvl w:val="0"/>
          <w:numId w:val="0"/>
        </w:numPr>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本合同发生争议时，由双方协商解决或提交当地仲裁委员会仲裁，或向当地人民法院起诉；本合同经双方委托代理人签字、盖章后生效，愿双方友好合作、共同遵守。</w:t>
      </w:r>
    </w:p>
    <w:p>
      <w:pPr>
        <w:numPr>
          <w:ilvl w:val="0"/>
          <w:numId w:val="0"/>
        </w:numPr>
        <w:rPr>
          <w:rFonts w:hint="eastAsia" w:ascii="宋体" w:hAnsi="宋体" w:eastAsia="宋体" w:cs="宋体"/>
          <w:b w:val="0"/>
          <w:bCs w:val="0"/>
          <w:sz w:val="28"/>
          <w:szCs w:val="28"/>
          <w:u w:val="none"/>
          <w:lang w:val="en-US" w:eastAsia="zh-CN"/>
        </w:rPr>
      </w:pPr>
    </w:p>
    <w:p>
      <w:pPr>
        <w:numPr>
          <w:ilvl w:val="0"/>
          <w:numId w:val="0"/>
        </w:numPr>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甲方：                          乙方：</w:t>
      </w:r>
    </w:p>
    <w:p>
      <w:pPr>
        <w:numPr>
          <w:ilvl w:val="0"/>
          <w:numId w:val="0"/>
        </w:numPr>
        <w:rPr>
          <w:rFonts w:hint="eastAsia" w:ascii="宋体" w:hAnsi="宋体" w:eastAsia="宋体" w:cs="宋体"/>
          <w:b w:val="0"/>
          <w:bCs w:val="0"/>
          <w:sz w:val="28"/>
          <w:szCs w:val="28"/>
          <w:u w:val="none"/>
          <w:lang w:val="en-US" w:eastAsia="zh-CN"/>
        </w:rPr>
      </w:pPr>
    </w:p>
    <w:p>
      <w:pPr>
        <w:numPr>
          <w:ilvl w:val="0"/>
          <w:numId w:val="0"/>
        </w:numPr>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委托代理人：                    委托代理人：</w:t>
      </w:r>
    </w:p>
    <w:p>
      <w:pPr>
        <w:ind w:firstLine="4480" w:firstLineChars="1600"/>
        <w:rPr>
          <w:rFonts w:hint="eastAsia" w:ascii="宋体" w:hAnsi="宋体" w:eastAsia="宋体" w:cs="宋体"/>
          <w:sz w:val="28"/>
          <w:szCs w:val="28"/>
          <w:lang w:val="en-US" w:eastAsia="zh-CN"/>
        </w:rPr>
      </w:pPr>
      <w:r>
        <w:rPr>
          <w:rFonts w:hint="eastAsia" w:ascii="宋体" w:hAnsi="宋体" w:eastAsia="宋体" w:cs="宋体"/>
          <w:sz w:val="28"/>
          <w:szCs w:val="28"/>
          <w:lang w:eastAsia="zh-CN"/>
        </w:rPr>
        <w:t>识别号：</w:t>
      </w:r>
    </w:p>
    <w:p>
      <w:pPr>
        <w:ind w:firstLine="4480" w:firstLineChars="16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开户行：</w:t>
      </w:r>
    </w:p>
    <w:p>
      <w:pPr>
        <w:numPr>
          <w:ilvl w:val="0"/>
          <w:numId w:val="0"/>
        </w:numPr>
        <w:ind w:firstLine="4480" w:firstLineChars="16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账号： </w:t>
      </w:r>
    </w:p>
    <w:p>
      <w:pPr>
        <w:numPr>
          <w:ilvl w:val="0"/>
          <w:numId w:val="0"/>
        </w:numPr>
        <w:ind w:firstLine="4480" w:firstLineChars="1600"/>
        <w:rPr>
          <w:rFonts w:hint="eastAsia" w:ascii="宋体" w:hAnsi="宋体" w:eastAsia="宋体" w:cs="宋体"/>
          <w:sz w:val="28"/>
          <w:szCs w:val="28"/>
          <w:lang w:val="en-US" w:eastAsia="zh-CN"/>
        </w:rPr>
      </w:pPr>
    </w:p>
    <w:p>
      <w:pPr>
        <w:numPr>
          <w:ilvl w:val="0"/>
          <w:numId w:val="0"/>
        </w:numPr>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签订时间：</w:t>
      </w:r>
    </w:p>
    <w:p>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584E55-E1F2-4846-B4EE-F6090A8E5F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E5DF7EE7-3586-4D5C-A43B-6248ECDE96AF}"/>
  </w:font>
  <w:font w:name="仿宋">
    <w:panose1 w:val="02010609060101010101"/>
    <w:charset w:val="86"/>
    <w:family w:val="auto"/>
    <w:pitch w:val="default"/>
    <w:sig w:usb0="800002BF" w:usb1="38CF7CFA" w:usb2="00000016" w:usb3="00000000" w:csb0="00040001" w:csb1="00000000"/>
    <w:embedRegular r:id="rId3" w:fontKey="{E086261C-0610-4464-A7BE-23E03787CC90}"/>
  </w:font>
  <w:font w:name="方正仿宋_GB2312">
    <w:panose1 w:val="02000000000000000000"/>
    <w:charset w:val="86"/>
    <w:family w:val="auto"/>
    <w:pitch w:val="default"/>
    <w:sig w:usb0="A00002BF" w:usb1="184F6CFA" w:usb2="00000012" w:usb3="00000000" w:csb0="00040001" w:csb1="00000000"/>
    <w:embedRegular r:id="rId4" w:fontKey="{AC0B6846-CECC-4BF3-8FCF-09AADCEE5033}"/>
  </w:font>
  <w:font w:name="方正小标宋简体">
    <w:panose1 w:val="02000000000000000000"/>
    <w:charset w:val="86"/>
    <w:family w:val="auto"/>
    <w:pitch w:val="default"/>
    <w:sig w:usb0="00000001" w:usb1="08000000" w:usb2="00000000" w:usb3="00000000" w:csb0="00040000" w:csb1="00000000"/>
    <w:embedRegular r:id="rId5" w:fontKey="{AC056F9A-BF23-44EB-AC3D-AB7C5BF580EC}"/>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abstractNum w:abstractNumId="2">
    <w:nsid w:val="0F709AD4"/>
    <w:multiLevelType w:val="singleLevel"/>
    <w:tmpl w:val="0F709AD4"/>
    <w:lvl w:ilvl="0" w:tentative="0">
      <w:start w:val="5"/>
      <w:numFmt w:val="chineseCounting"/>
      <w:suff w:val="nothing"/>
      <w:lvlText w:val="%1、"/>
      <w:lvlJc w:val="left"/>
      <w:rPr>
        <w:rFonts w:hint="eastAsia"/>
      </w:rPr>
    </w:lvl>
  </w:abstractNum>
  <w:abstractNum w:abstractNumId="3">
    <w:nsid w:val="4AFF4E12"/>
    <w:multiLevelType w:val="singleLevel"/>
    <w:tmpl w:val="4AFF4E12"/>
    <w:lvl w:ilvl="0" w:tentative="0">
      <w:start w:val="7"/>
      <w:numFmt w:val="chineseCounting"/>
      <w:suff w:val="nothing"/>
      <w:lvlText w:val="%1、"/>
      <w:lvlJc w:val="left"/>
      <w:rPr>
        <w:rFonts w:hint="eastAsia"/>
        <w:b/>
        <w:bCs/>
        <w:sz w:val="30"/>
        <w:szCs w:val="3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6BD6BBF"/>
    <w:rsid w:val="37512F06"/>
    <w:rsid w:val="47044A64"/>
    <w:rsid w:val="499910CF"/>
    <w:rsid w:val="4BFA3450"/>
    <w:rsid w:val="4F59011B"/>
    <w:rsid w:val="50CA2BBB"/>
    <w:rsid w:val="557038BD"/>
    <w:rsid w:val="57752E80"/>
    <w:rsid w:val="57C16B81"/>
    <w:rsid w:val="5FC15772"/>
    <w:rsid w:val="5FC15FA1"/>
    <w:rsid w:val="64047E51"/>
    <w:rsid w:val="65D57BE0"/>
    <w:rsid w:val="6D4E5FC4"/>
    <w:rsid w:val="6D860727"/>
    <w:rsid w:val="71494FDF"/>
    <w:rsid w:val="72542E03"/>
    <w:rsid w:val="732E26DE"/>
    <w:rsid w:val="769B58D2"/>
    <w:rsid w:val="7B965B1F"/>
    <w:rsid w:val="7C1C26AA"/>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0</TotalTime>
  <ScaleCrop>false</ScaleCrop>
  <LinksUpToDate>false</LinksUpToDate>
  <CharactersWithSpaces>8662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2024-03-18T07:30:22Z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76C9A4773B63434B9FC51B57D37D2DB1_11</vt:lpwstr>
  </property>
</Properties>
</file>