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为蜀游公司旗下星悦轩酒店采购并安装送物机器人、智能货柜</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2"/>
        <w:jc w:val="center"/>
        <w:rPr>
          <w:rFonts w:hint="default"/>
          <w:lang w:val="en-US" w:eastAsia="zh-CN"/>
        </w:rPr>
      </w:pPr>
      <w:r>
        <w:rPr>
          <w:rFonts w:hint="eastAsia"/>
          <w:lang w:val="en-US" w:eastAsia="zh-CN"/>
        </w:rPr>
        <w:t>采购清单</w:t>
      </w:r>
    </w:p>
    <w:tbl>
      <w:tblPr>
        <w:tblStyle w:val="4"/>
        <w:tblW w:w="95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70"/>
        <w:gridCol w:w="2385"/>
        <w:gridCol w:w="3615"/>
        <w:gridCol w:w="630"/>
        <w:gridCol w:w="630"/>
        <w:gridCol w:w="14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序号</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名称</w:t>
            </w:r>
          </w:p>
        </w:tc>
        <w:tc>
          <w:tcPr>
            <w:tcW w:w="3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型号规格、技术、服务要求</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计量单位</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数量</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spacing w:val="0"/>
                <w:w w:val="100"/>
                <w:kern w:val="0"/>
                <w:position w:val="0"/>
                <w:sz w:val="28"/>
                <w:szCs w:val="28"/>
                <w:u w:val="none"/>
                <w:shd w:val="clear" w:color="auto" w:fill="auto"/>
                <w:lang w:val="en-US" w:eastAsia="zh-CN" w:bidi="ar"/>
              </w:rPr>
              <w:t>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送物机器人</w:t>
            </w:r>
          </w:p>
        </w:tc>
        <w:tc>
          <w:tcPr>
            <w:tcW w:w="3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云迹（双仓)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spacing w:val="0"/>
                <w:w w:val="100"/>
                <w:kern w:val="0"/>
                <w:position w:val="0"/>
                <w:sz w:val="28"/>
                <w:szCs w:val="28"/>
                <w:u w:val="none"/>
                <w:shd w:val="clear" w:color="auto" w:fill="auto"/>
                <w:lang w:val="en-US" w:eastAsia="zh-CN" w:bidi="ar"/>
              </w:rPr>
              <w:t>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智能货柜</w:t>
            </w:r>
          </w:p>
        </w:tc>
        <w:tc>
          <w:tcPr>
            <w:tcW w:w="3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云酷2.0（冷藏版）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spacing w:val="0"/>
                <w:w w:val="100"/>
                <w:kern w:val="0"/>
                <w:position w:val="0"/>
                <w:sz w:val="28"/>
                <w:szCs w:val="28"/>
                <w:u w:val="none"/>
                <w:shd w:val="clear" w:color="auto" w:fill="auto"/>
                <w:lang w:val="en-US" w:eastAsia="zh-CN" w:bidi="ar"/>
              </w:rPr>
              <w:t>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电梯物联及安装调试</w:t>
            </w:r>
          </w:p>
        </w:tc>
        <w:tc>
          <w:tcPr>
            <w:tcW w:w="3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bl>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lang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三、备注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1、报价需包含物资、电梯物联、安装、调试等费用。</w:t>
      </w: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采购送物机器人以及智能货柜</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我方全面研究了“采购送物机器人以及智能货柜比选竞标函”，决定参加贵单位组织的本次比选，并自觉遵守采购相关规定，遵守采购规则，维护正常的采购秩序。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附件1：项目报价清单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lang w:val="en-US" w:eastAsia="zh-CN"/>
        </w:rPr>
      </w:pPr>
      <w:r>
        <w:rPr>
          <w:rFonts w:hint="eastAsia" w:ascii="仿宋" w:hAnsi="仿宋" w:eastAsia="仿宋" w:cs="仿宋"/>
          <w:sz w:val="32"/>
          <w:szCs w:val="32"/>
          <w:u w:val="none"/>
          <w:lang w:val="en-US" w:eastAsia="zh-CN"/>
        </w:rPr>
        <w:t>附件2：合同主要条款</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cols w:space="0" w:num="1"/>
          <w:rtlGutter w:val="0"/>
          <w:docGrid w:type="lines" w:linePitch="332" w:charSpace="0"/>
        </w:sectPr>
      </w:pPr>
    </w:p>
    <w:p>
      <w:pPr>
        <w:pStyle w:val="2"/>
        <w:shd w:val="clear" w:color="auto" w:fill="auto"/>
        <w:rPr>
          <w:rFonts w:hint="eastAsia"/>
          <w:lang w:val="en-US" w:eastAsia="zh-CN"/>
        </w:rPr>
      </w:pPr>
      <w:r>
        <w:rPr>
          <w:rFonts w:hint="eastAsia" w:ascii="仿宋" w:hAnsi="仿宋" w:eastAsia="仿宋" w:cs="仿宋"/>
          <w:sz w:val="32"/>
          <w:szCs w:val="32"/>
          <w:u w:val="none"/>
          <w:lang w:val="en-US" w:eastAsia="zh-CN"/>
        </w:rPr>
        <w:t>附件1：项目报价清单</w:t>
      </w:r>
    </w:p>
    <w:tbl>
      <w:tblPr>
        <w:tblStyle w:val="4"/>
        <w:tblpPr w:leftFromText="180" w:rightFromText="180" w:vertAnchor="text" w:horzAnchor="page" w:tblpXSpec="center" w:tblpY="663"/>
        <w:tblOverlap w:val="never"/>
        <w:tblW w:w="105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0"/>
        <w:gridCol w:w="2385"/>
        <w:gridCol w:w="3615"/>
        <w:gridCol w:w="630"/>
        <w:gridCol w:w="630"/>
        <w:gridCol w:w="1421"/>
        <w:gridCol w:w="9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序号</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名称</w:t>
            </w:r>
          </w:p>
        </w:tc>
        <w:tc>
          <w:tcPr>
            <w:tcW w:w="3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型号规格、技术、服务要求</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计量单位</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数量</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单价</w:t>
            </w:r>
            <w:r>
              <w:rPr>
                <w:rFonts w:hint="default"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（元）</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spacing w:val="0"/>
                <w:w w:val="100"/>
                <w:kern w:val="0"/>
                <w:position w:val="0"/>
                <w:sz w:val="28"/>
                <w:szCs w:val="28"/>
                <w:u w:val="none"/>
                <w:shd w:val="clear" w:color="auto" w:fill="auto"/>
                <w:lang w:val="en-US" w:eastAsia="zh-CN" w:bidi="ar"/>
              </w:rPr>
              <w:t>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送物机器人</w:t>
            </w:r>
          </w:p>
        </w:tc>
        <w:tc>
          <w:tcPr>
            <w:tcW w:w="3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云迹（双仓)</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spacing w:val="0"/>
                <w:w w:val="100"/>
                <w:kern w:val="0"/>
                <w:position w:val="0"/>
                <w:sz w:val="28"/>
                <w:szCs w:val="28"/>
                <w:u w:val="none"/>
                <w:shd w:val="clear" w:color="auto" w:fill="auto"/>
                <w:lang w:val="en-US" w:eastAsia="zh-CN" w:bidi="ar"/>
              </w:rPr>
              <w:t>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智能货柜</w:t>
            </w:r>
          </w:p>
        </w:tc>
        <w:tc>
          <w:tcPr>
            <w:tcW w:w="3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云酷2.0（冷藏版）</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8"/>
                <w:szCs w:val="28"/>
                <w:u w:val="none"/>
              </w:rPr>
            </w:pPr>
            <w:r>
              <w:rPr>
                <w:rFonts w:hint="default" w:ascii="仿宋_GB2312" w:hAnsi="宋体" w:eastAsia="仿宋_GB2312" w:cs="仿宋_GB2312"/>
                <w:i w:val="0"/>
                <w:iCs w:val="0"/>
                <w:color w:val="000000"/>
                <w:spacing w:val="0"/>
                <w:w w:val="100"/>
                <w:kern w:val="0"/>
                <w:position w:val="0"/>
                <w:sz w:val="28"/>
                <w:szCs w:val="28"/>
                <w:u w:val="none"/>
                <w:shd w:val="clear" w:color="auto" w:fill="auto"/>
                <w:lang w:val="en-US" w:eastAsia="zh-CN" w:bidi="ar"/>
              </w:rPr>
              <w:t>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电梯物联及安装调试</w:t>
            </w:r>
          </w:p>
        </w:tc>
        <w:tc>
          <w:tcPr>
            <w:tcW w:w="3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81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pacing w:val="0"/>
                <w:w w:val="100"/>
                <w:kern w:val="0"/>
                <w:position w:val="0"/>
                <w:sz w:val="24"/>
                <w:szCs w:val="24"/>
                <w:u w:val="none"/>
                <w:shd w:val="clear" w:color="auto" w:fill="auto"/>
                <w:lang w:val="en-US" w:eastAsia="zh-CN" w:bidi="ar"/>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合计</w:t>
            </w: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bl>
    <w:p>
      <w:pPr>
        <w:pStyle w:val="2"/>
        <w:rPr>
          <w:rFonts w:hint="eastAsia"/>
          <w:lang w:val="en-US" w:eastAsia="zh-CN"/>
        </w:rPr>
      </w:pPr>
    </w:p>
    <w:p>
      <w:pPr>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附件2：合同主要条款</w:t>
      </w:r>
    </w:p>
    <w:p>
      <w:pPr>
        <w:keepNext w:val="0"/>
        <w:keepLines w:val="0"/>
        <w:pageBreakBefore w:val="0"/>
        <w:widowControl w:val="0"/>
        <w:kinsoku/>
        <w:wordWrap/>
        <w:overflowPunct/>
        <w:topLinePunct w:val="0"/>
        <w:autoSpaceDE/>
        <w:autoSpaceDN/>
        <w:bidi w:val="0"/>
        <w:adjustRightInd/>
        <w:snapToGrid/>
        <w:spacing w:line="556" w:lineRule="exact"/>
        <w:ind w:right="420"/>
        <w:jc w:val="center"/>
        <w:textAlignment w:val="auto"/>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b w:val="0"/>
          <w:bCs w:val="0"/>
          <w:sz w:val="44"/>
          <w:szCs w:val="44"/>
        </w:rPr>
        <w:t>供货合同</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签订日期：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签订地点：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根据《中华人民共和国民法典》及相关法律法规的规定，以及供需双方战略合作框架协议的约定，现经友好协商一致，就</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购置</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以下产品及服务事宜达成协议，以兹共同遵守：</w:t>
      </w:r>
    </w:p>
    <w:p>
      <w:pPr>
        <w:keepNext w:val="0"/>
        <w:keepLines w:val="0"/>
        <w:pageBreakBefore w:val="0"/>
        <w:widowControl w:val="0"/>
        <w:numPr>
          <w:ilvl w:val="0"/>
          <w:numId w:val="2"/>
        </w:numPr>
        <w:kinsoku/>
        <w:wordWrap/>
        <w:overflowPunct/>
        <w:topLinePunct w:val="0"/>
        <w:autoSpaceDE/>
        <w:autoSpaceDN/>
        <w:bidi w:val="0"/>
        <w:adjustRightInd/>
        <w:snapToGrid/>
        <w:spacing w:line="556"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产品清单、服务及金额（详见附件） </w:t>
      </w:r>
    </w:p>
    <w:p>
      <w:pPr>
        <w:keepNext w:val="0"/>
        <w:keepLines w:val="0"/>
        <w:pageBreakBefore w:val="0"/>
        <w:widowControl w:val="0"/>
        <w:numPr>
          <w:ilvl w:val="0"/>
          <w:numId w:val="0"/>
        </w:numPr>
        <w:kinsoku/>
        <w:wordWrap/>
        <w:overflowPunct/>
        <w:topLinePunct w:val="0"/>
        <w:autoSpaceDE/>
        <w:autoSpaceDN/>
        <w:bidi w:val="0"/>
        <w:adjustRightInd/>
        <w:snapToGrid/>
        <w:spacing w:line="556"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项目名称：</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，项目地址：</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i w:val="0"/>
          <w:iCs w:val="0"/>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 ，合同含税总金额：</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元（大写：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），产品清单详见附件。</w:t>
      </w:r>
    </w:p>
    <w:p>
      <w:pPr>
        <w:keepNext w:val="0"/>
        <w:keepLines w:val="0"/>
        <w:pageBreakBefore w:val="0"/>
        <w:widowControl w:val="0"/>
        <w:numPr>
          <w:ilvl w:val="0"/>
          <w:numId w:val="2"/>
        </w:numPr>
        <w:kinsoku/>
        <w:wordWrap/>
        <w:overflowPunct/>
        <w:topLinePunct w:val="0"/>
        <w:autoSpaceDE/>
        <w:autoSpaceDN/>
        <w:bidi w:val="0"/>
        <w:adjustRightInd/>
        <w:snapToGrid/>
        <w:spacing w:line="556"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付款方式</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1、本合同生效之日起</w:t>
      </w:r>
      <w:r>
        <w:rPr>
          <w:rFonts w:hint="eastAsia" w:ascii="仿宋_GB2312" w:hAnsi="仿宋_GB2312" w:eastAsia="仿宋_GB2312" w:cs="仿宋_GB2312"/>
          <w:sz w:val="32"/>
          <w:szCs w:val="32"/>
          <w:lang w:val="en-US" w:eastAsia="zh-CN"/>
        </w:rPr>
        <w:t>5个工作</w:t>
      </w:r>
      <w:r>
        <w:rPr>
          <w:rFonts w:hint="eastAsia" w:ascii="仿宋_GB2312" w:hAnsi="仿宋_GB2312" w:eastAsia="仿宋_GB2312" w:cs="仿宋_GB2312"/>
          <w:sz w:val="32"/>
          <w:szCs w:val="32"/>
        </w:rPr>
        <w:t>日内，</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向</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支付合同额的</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5</w:t>
      </w:r>
      <w:r>
        <w:rPr>
          <w:rFonts w:hint="eastAsia" w:ascii="仿宋_GB2312" w:hAnsi="仿宋_GB2312" w:eastAsia="仿宋_GB2312" w:cs="仿宋_GB2312"/>
          <w:sz w:val="32"/>
          <w:szCs w:val="32"/>
          <w:u w:val="single"/>
        </w:rPr>
        <w:t xml:space="preserve">0% </w:t>
      </w:r>
      <w:r>
        <w:rPr>
          <w:rFonts w:hint="eastAsia" w:ascii="仿宋_GB2312" w:hAnsi="仿宋_GB2312" w:eastAsia="仿宋_GB2312" w:cs="仿宋_GB2312"/>
          <w:sz w:val="32"/>
          <w:szCs w:val="32"/>
        </w:rPr>
        <w:t>作为合同预付款（即：</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val="en-US" w:eastAsia="zh-CN"/>
        </w:rPr>
        <w:t>甲方收到合同约定设备验收合格后3日内支付</w:t>
      </w:r>
      <w:r>
        <w:rPr>
          <w:rFonts w:hint="eastAsia" w:ascii="仿宋_GB2312" w:hAnsi="仿宋_GB2312" w:eastAsia="仿宋_GB2312" w:cs="仿宋_GB2312"/>
          <w:sz w:val="32"/>
          <w:szCs w:val="32"/>
        </w:rPr>
        <w:t>剩余</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47</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lang w:val="en-US" w:eastAsia="zh-CN"/>
        </w:rPr>
        <w:t>合同</w:t>
      </w:r>
      <w:r>
        <w:rPr>
          <w:rFonts w:hint="eastAsia" w:ascii="仿宋_GB2312" w:hAnsi="仿宋_GB2312" w:eastAsia="仿宋_GB2312" w:cs="仿宋_GB2312"/>
          <w:sz w:val="32"/>
          <w:szCs w:val="32"/>
        </w:rPr>
        <w:t>款（即：</w:t>
      </w:r>
      <w:r>
        <w:rPr>
          <w:rFonts w:hint="eastAsia" w:ascii="仿宋_GB2312" w:hAnsi="仿宋_GB2312" w:eastAsia="仿宋_GB2312" w:cs="仿宋_GB2312"/>
          <w:sz w:val="32"/>
          <w:szCs w:val="32"/>
          <w:u w:val="single"/>
        </w:rPr>
        <w:t xml:space="preserve">            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保质期结束后5日内支付3%尾款</w:t>
      </w:r>
      <w:r>
        <w:rPr>
          <w:rFonts w:hint="eastAsia" w:ascii="仿宋_GB2312" w:hAnsi="仿宋_GB2312" w:eastAsia="仿宋_GB2312" w:cs="仿宋_GB2312"/>
          <w:sz w:val="32"/>
          <w:szCs w:val="32"/>
        </w:rPr>
        <w:t>（即：</w:t>
      </w:r>
      <w:r>
        <w:rPr>
          <w:rFonts w:hint="eastAsia" w:ascii="仿宋_GB2312" w:hAnsi="仿宋_GB2312" w:eastAsia="仿宋_GB2312" w:cs="仿宋_GB2312"/>
          <w:sz w:val="32"/>
          <w:szCs w:val="32"/>
          <w:u w:val="single"/>
        </w:rPr>
        <w:t xml:space="preserve">            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乙方收款前</w:t>
      </w:r>
      <w:r>
        <w:rPr>
          <w:rFonts w:hint="eastAsia" w:ascii="仿宋_GB2312" w:hAnsi="仿宋_GB2312" w:eastAsia="仿宋_GB2312" w:cs="仿宋_GB2312"/>
          <w:sz w:val="32"/>
          <w:szCs w:val="32"/>
        </w:rPr>
        <w:t>开具</w:t>
      </w:r>
      <w:r>
        <w:rPr>
          <w:rFonts w:hint="eastAsia" w:ascii="仿宋_GB2312" w:hAnsi="仿宋_GB2312" w:eastAsia="仿宋_GB2312" w:cs="仿宋_GB2312"/>
          <w:sz w:val="32"/>
          <w:szCs w:val="32"/>
          <w:lang w:val="en-US" w:eastAsia="zh-CN"/>
        </w:rPr>
        <w:t>对应金额的</w:t>
      </w:r>
      <w:r>
        <w:rPr>
          <w:rFonts w:hint="eastAsia" w:ascii="仿宋_GB2312" w:hAnsi="仿宋_GB2312" w:eastAsia="仿宋_GB2312" w:cs="仿宋_GB2312"/>
          <w:sz w:val="32"/>
          <w:szCs w:val="32"/>
        </w:rPr>
        <w:t>发票给</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逾期支付尾款的，从</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发出书面催告后的第二日，开始计算逾期付款时间，每逾期一日按未付款额的</w:t>
      </w:r>
      <w:r>
        <w:rPr>
          <w:rFonts w:hint="eastAsia" w:ascii="仿宋_GB2312" w:hAnsi="仿宋_GB2312" w:eastAsia="仿宋_GB2312" w:cs="仿宋_GB2312"/>
          <w:sz w:val="32"/>
          <w:szCs w:val="32"/>
          <w:lang w:val="en-US" w:eastAsia="zh-CN"/>
        </w:rPr>
        <w:t>一年期LPR利率</w:t>
      </w:r>
      <w:r>
        <w:rPr>
          <w:rFonts w:hint="eastAsia" w:ascii="仿宋_GB2312" w:hAnsi="仿宋_GB2312" w:eastAsia="仿宋_GB2312" w:cs="仿宋_GB2312"/>
          <w:sz w:val="32"/>
          <w:szCs w:val="32"/>
        </w:rPr>
        <w:t>向</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支付逾期付款违约金，直至</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结清尾款及违约金。</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银行账户信息：</w:t>
      </w:r>
    </w:p>
    <w:p>
      <w:pPr>
        <w:keepNext w:val="0"/>
        <w:keepLines w:val="0"/>
        <w:pageBreakBefore w:val="0"/>
        <w:widowControl w:val="0"/>
        <w:kinsoku/>
        <w:wordWrap/>
        <w:overflowPunct/>
        <w:topLinePunct w:val="0"/>
        <w:autoSpaceDE/>
        <w:autoSpaceDN/>
        <w:bidi w:val="0"/>
        <w:adjustRightInd/>
        <w:snapToGrid/>
        <w:spacing w:line="556" w:lineRule="exact"/>
        <w:ind w:firstLine="1600" w:firstLineChars="500"/>
        <w:jc w:val="left"/>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rPr>
        <w:t>户  名：</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56" w:lineRule="exact"/>
        <w:ind w:firstLine="1600" w:firstLineChars="500"/>
        <w:jc w:val="left"/>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rPr>
        <w:t>开户行：</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56" w:lineRule="exact"/>
        <w:ind w:firstLine="1600" w:firstLineChars="500"/>
        <w:jc w:val="left"/>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rPr>
        <w:t>账  号：</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556"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交货</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1、交货期：自合同生效后，由</w:t>
      </w:r>
      <w:r>
        <w:rPr>
          <w:rFonts w:hint="eastAsia" w:ascii="仿宋_GB2312" w:hAnsi="仿宋_GB2312" w:eastAsia="仿宋_GB2312" w:cs="仿宋_GB2312"/>
          <w:sz w:val="32"/>
          <w:szCs w:val="32"/>
          <w:highlight w:val="none"/>
          <w:lang w:eastAsia="zh-CN"/>
        </w:rPr>
        <w:t>甲方</w:t>
      </w:r>
      <w:r>
        <w:rPr>
          <w:rFonts w:hint="eastAsia" w:ascii="仿宋_GB2312" w:hAnsi="仿宋_GB2312" w:eastAsia="仿宋_GB2312" w:cs="仿宋_GB2312"/>
          <w:sz w:val="32"/>
          <w:szCs w:val="32"/>
          <w:highlight w:val="none"/>
        </w:rPr>
        <w:t>向</w:t>
      </w:r>
      <w:r>
        <w:rPr>
          <w:rFonts w:hint="eastAsia" w:ascii="仿宋_GB2312" w:hAnsi="仿宋_GB2312" w:eastAsia="仿宋_GB2312" w:cs="仿宋_GB2312"/>
          <w:sz w:val="32"/>
          <w:szCs w:val="32"/>
          <w:highlight w:val="none"/>
          <w:lang w:eastAsia="zh-CN"/>
        </w:rPr>
        <w:t>乙方</w:t>
      </w:r>
      <w:r>
        <w:rPr>
          <w:rFonts w:hint="eastAsia" w:ascii="仿宋_GB2312" w:hAnsi="仿宋_GB2312" w:eastAsia="仿宋_GB2312" w:cs="仿宋_GB2312"/>
          <w:sz w:val="32"/>
          <w:szCs w:val="32"/>
          <w:highlight w:val="none"/>
        </w:rPr>
        <w:t>下达送货指令，且</w:t>
      </w:r>
      <w:r>
        <w:rPr>
          <w:rFonts w:hint="eastAsia" w:ascii="仿宋_GB2312" w:hAnsi="仿宋_GB2312" w:eastAsia="仿宋_GB2312" w:cs="仿宋_GB2312"/>
          <w:sz w:val="32"/>
          <w:szCs w:val="32"/>
          <w:highlight w:val="none"/>
          <w:lang w:eastAsia="zh-CN"/>
        </w:rPr>
        <w:t>乙方</w:t>
      </w:r>
      <w:r>
        <w:rPr>
          <w:rFonts w:hint="eastAsia" w:ascii="仿宋_GB2312" w:hAnsi="仿宋_GB2312" w:eastAsia="仿宋_GB2312" w:cs="仿宋_GB2312"/>
          <w:sz w:val="32"/>
          <w:szCs w:val="32"/>
          <w:highlight w:val="none"/>
        </w:rPr>
        <w:t>收到预付款后</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日内交付货物。亦可以根据</w:t>
      </w:r>
      <w:r>
        <w:rPr>
          <w:rFonts w:hint="eastAsia" w:ascii="仿宋_GB2312" w:hAnsi="仿宋_GB2312" w:eastAsia="仿宋_GB2312" w:cs="仿宋_GB2312"/>
          <w:sz w:val="32"/>
          <w:szCs w:val="32"/>
          <w:highlight w:val="none"/>
          <w:lang w:eastAsia="zh-CN"/>
        </w:rPr>
        <w:t>甲方</w:t>
      </w:r>
      <w:r>
        <w:rPr>
          <w:rFonts w:hint="eastAsia" w:ascii="仿宋_GB2312" w:hAnsi="仿宋_GB2312" w:eastAsia="仿宋_GB2312" w:cs="仿宋_GB2312"/>
          <w:sz w:val="32"/>
          <w:szCs w:val="32"/>
          <w:highlight w:val="none"/>
        </w:rPr>
        <w:t>指定时间内交付货物，但</w:t>
      </w:r>
      <w:r>
        <w:rPr>
          <w:rFonts w:hint="eastAsia" w:ascii="仿宋_GB2312" w:hAnsi="仿宋_GB2312" w:eastAsia="仿宋_GB2312" w:cs="仿宋_GB2312"/>
          <w:sz w:val="32"/>
          <w:szCs w:val="32"/>
          <w:highlight w:val="none"/>
          <w:lang w:eastAsia="zh-CN"/>
        </w:rPr>
        <w:t>甲方</w:t>
      </w:r>
      <w:r>
        <w:rPr>
          <w:rFonts w:hint="eastAsia" w:ascii="仿宋_GB2312" w:hAnsi="仿宋_GB2312" w:eastAsia="仿宋_GB2312" w:cs="仿宋_GB2312"/>
          <w:sz w:val="32"/>
          <w:szCs w:val="32"/>
          <w:highlight w:val="none"/>
        </w:rPr>
        <w:t>应当给予</w:t>
      </w:r>
      <w:r>
        <w:rPr>
          <w:rFonts w:hint="eastAsia" w:ascii="仿宋_GB2312" w:hAnsi="仿宋_GB2312" w:eastAsia="仿宋_GB2312" w:cs="仿宋_GB2312"/>
          <w:sz w:val="32"/>
          <w:szCs w:val="32"/>
          <w:highlight w:val="none"/>
          <w:lang w:eastAsia="zh-CN"/>
        </w:rPr>
        <w:t>乙方</w:t>
      </w:r>
      <w:r>
        <w:rPr>
          <w:rFonts w:hint="eastAsia" w:ascii="仿宋_GB2312" w:hAnsi="仿宋_GB2312" w:eastAsia="仿宋_GB2312" w:cs="仿宋_GB2312"/>
          <w:sz w:val="32"/>
          <w:szCs w:val="32"/>
          <w:highlight w:val="none"/>
        </w:rPr>
        <w:t>备货的时间，备货时间不少于</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逾期收货时间超过三个月，</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经书面催告且</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仍未收货的，视为</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拒绝收货，</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有权解除合同，货物由</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自行处理，所收货款不予退还。或由</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支付每日货款额</w:t>
      </w:r>
      <w:r>
        <w:rPr>
          <w:rFonts w:hint="eastAsia" w:ascii="仿宋_GB2312" w:hAnsi="仿宋_GB2312" w:eastAsia="仿宋_GB2312" w:cs="仿宋_GB2312"/>
          <w:sz w:val="32"/>
          <w:szCs w:val="32"/>
          <w:lang w:val="en-US" w:eastAsia="zh-CN"/>
        </w:rPr>
        <w:t>一年期LPR利率</w:t>
      </w:r>
      <w:r>
        <w:rPr>
          <w:rFonts w:hint="eastAsia" w:ascii="仿宋_GB2312" w:hAnsi="仿宋_GB2312" w:eastAsia="仿宋_GB2312" w:cs="仿宋_GB2312"/>
          <w:sz w:val="32"/>
          <w:szCs w:val="32"/>
        </w:rPr>
        <w:t>的仓储占用费。</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、交货地点：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江油市太平镇星悦轩酒店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、收货人姓名：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黄娟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，电话：</w:t>
      </w:r>
      <w:r>
        <w:rPr>
          <w:rFonts w:hint="eastAsia" w:ascii="仿宋_GB2312" w:hAnsi="仿宋_GB2312" w:eastAsia="仿宋_GB2312" w:cs="仿宋_GB2312"/>
          <w:sz w:val="32"/>
          <w:szCs w:val="32"/>
          <w:u w:val="single"/>
          <w:lang w:val="en-US" w:eastAsia="zh-CN"/>
        </w:rPr>
        <w:t>18111122011</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、货物交付前的风险由</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承担；货物交付后的风险由</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承担，包括毁损、丢失等。</w:t>
      </w:r>
    </w:p>
    <w:p>
      <w:pPr>
        <w:keepNext w:val="0"/>
        <w:keepLines w:val="0"/>
        <w:pageBreakBefore w:val="0"/>
        <w:widowControl w:val="0"/>
        <w:numPr>
          <w:ilvl w:val="0"/>
          <w:numId w:val="2"/>
        </w:numPr>
        <w:kinsoku/>
        <w:wordWrap/>
        <w:overflowPunct/>
        <w:topLinePunct w:val="0"/>
        <w:autoSpaceDE/>
        <w:autoSpaceDN/>
        <w:bidi w:val="0"/>
        <w:adjustRightInd/>
        <w:snapToGrid/>
        <w:spacing w:line="556"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运输方式及费用</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须在规定时间内将货物送至交货地址，运输方式由</w:t>
      </w:r>
      <w:r>
        <w:rPr>
          <w:rFonts w:hint="eastAsia" w:ascii="仿宋_GB2312" w:hAnsi="仿宋_GB2312" w:eastAsia="仿宋_GB2312" w:cs="仿宋_GB2312"/>
          <w:sz w:val="32"/>
          <w:szCs w:val="32"/>
          <w:u w:val="single"/>
          <w:lang w:eastAsia="zh-CN"/>
        </w:rPr>
        <w:t>乙方</w:t>
      </w:r>
      <w:r>
        <w:rPr>
          <w:rFonts w:hint="eastAsia" w:ascii="仿宋_GB2312" w:hAnsi="仿宋_GB2312" w:eastAsia="仿宋_GB2312" w:cs="仿宋_GB2312"/>
          <w:sz w:val="32"/>
          <w:szCs w:val="32"/>
        </w:rPr>
        <w:t>自定，费用由</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eastAsia="zh-CN"/>
        </w:rPr>
        <w:t>乙方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承担。</w:t>
      </w:r>
    </w:p>
    <w:p>
      <w:pPr>
        <w:keepNext w:val="0"/>
        <w:keepLines w:val="0"/>
        <w:pageBreakBefore w:val="0"/>
        <w:widowControl w:val="0"/>
        <w:numPr>
          <w:ilvl w:val="0"/>
          <w:numId w:val="2"/>
        </w:numPr>
        <w:kinsoku/>
        <w:wordWrap/>
        <w:overflowPunct/>
        <w:topLinePunct w:val="0"/>
        <w:autoSpaceDE/>
        <w:autoSpaceDN/>
        <w:bidi w:val="0"/>
        <w:adjustRightInd/>
        <w:snapToGrid/>
        <w:spacing w:line="556"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验货</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对货物的验收期限为收到货物之日起</w:t>
      </w:r>
      <w:r>
        <w:rPr>
          <w:rFonts w:hint="eastAsia" w:ascii="仿宋_GB2312" w:hAnsi="仿宋_GB2312" w:eastAsia="仿宋_GB2312" w:cs="仿宋_GB2312"/>
          <w:sz w:val="32"/>
          <w:szCs w:val="32"/>
          <w:lang w:val="en-US" w:eastAsia="zh-CN"/>
        </w:rPr>
        <w:t>10个工作</w:t>
      </w:r>
      <w:r>
        <w:rPr>
          <w:rFonts w:hint="eastAsia" w:ascii="仿宋_GB2312" w:hAnsi="仿宋_GB2312" w:eastAsia="仿宋_GB2312" w:cs="仿宋_GB2312"/>
          <w:sz w:val="32"/>
          <w:szCs w:val="32"/>
        </w:rPr>
        <w:t>日内完成，并配合</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完成送货单的签字和回传；</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2、提出异议期限为验收货物之日起</w:t>
      </w:r>
      <w:r>
        <w:rPr>
          <w:rFonts w:hint="eastAsia" w:ascii="仿宋_GB2312" w:hAnsi="仿宋_GB2312" w:eastAsia="仿宋_GB2312" w:cs="仿宋_GB2312"/>
          <w:sz w:val="32"/>
          <w:szCs w:val="32"/>
          <w:lang w:val="en-US" w:eastAsia="zh-CN"/>
        </w:rPr>
        <w:t>15个工作日</w:t>
      </w:r>
      <w:r>
        <w:rPr>
          <w:rFonts w:hint="eastAsia" w:ascii="仿宋_GB2312" w:hAnsi="仿宋_GB2312" w:eastAsia="仿宋_GB2312" w:cs="仿宋_GB2312"/>
          <w:sz w:val="32"/>
          <w:szCs w:val="32"/>
        </w:rPr>
        <w:t>内向</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提出，</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在三日内给予回复处理。</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3、验收合格后，</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在使用过程中出现非质量问题等，可向</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提出维修、调换。维修、调换货物等费用由</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承担。</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4、产品质保期为1年。</w:t>
      </w:r>
    </w:p>
    <w:p>
      <w:pPr>
        <w:keepNext w:val="0"/>
        <w:keepLines w:val="0"/>
        <w:pageBreakBefore w:val="0"/>
        <w:widowControl w:val="0"/>
        <w:numPr>
          <w:ilvl w:val="0"/>
          <w:numId w:val="2"/>
        </w:numPr>
        <w:kinsoku/>
        <w:wordWrap/>
        <w:overflowPunct/>
        <w:topLinePunct w:val="0"/>
        <w:autoSpaceDE/>
        <w:autoSpaceDN/>
        <w:bidi w:val="0"/>
        <w:adjustRightInd/>
        <w:snapToGrid/>
        <w:spacing w:line="556"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违约责任</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双方应全面、恰当、及时地履行其义务及约定，凡违反本协议的约定，即构成违约。违约方应支付合同总额的20%的违约金给守约方，并赔偿因其违约造成的经济损失。</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守约方为实现权利的合理费用（包括仲裁费、律师费、公证费、保全费等）由违约方承担。</w:t>
      </w:r>
    </w:p>
    <w:p>
      <w:pPr>
        <w:keepNext w:val="0"/>
        <w:keepLines w:val="0"/>
        <w:pageBreakBefore w:val="0"/>
        <w:widowControl w:val="0"/>
        <w:numPr>
          <w:ilvl w:val="0"/>
          <w:numId w:val="2"/>
        </w:numPr>
        <w:kinsoku/>
        <w:wordWrap/>
        <w:overflowPunct/>
        <w:topLinePunct w:val="0"/>
        <w:autoSpaceDE/>
        <w:autoSpaceDN/>
        <w:bidi w:val="0"/>
        <w:adjustRightInd/>
        <w:snapToGrid/>
        <w:spacing w:line="556"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争议的处理</w:t>
      </w:r>
      <w:r>
        <w:rPr>
          <w:rFonts w:hint="eastAsia" w:ascii="黑体" w:hAnsi="黑体" w:eastAsia="黑体" w:cs="黑体"/>
          <w:b w:val="0"/>
          <w:bCs w:val="0"/>
          <w:sz w:val="32"/>
          <w:szCs w:val="32"/>
        </w:rPr>
        <w:tab/>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本合同履行过程中发生的争议，双方协商或调解不成时，任何一方可选择向</w:t>
      </w:r>
      <w:r>
        <w:rPr>
          <w:rFonts w:hint="eastAsia" w:ascii="仿宋_GB2312" w:hAnsi="仿宋_GB2312" w:eastAsia="仿宋_GB2312" w:cs="仿宋_GB2312"/>
          <w:sz w:val="32"/>
          <w:szCs w:val="32"/>
          <w:lang w:val="en-US" w:eastAsia="zh-CN"/>
        </w:rPr>
        <w:t>甲方所在地</w:t>
      </w:r>
      <w:r>
        <w:rPr>
          <w:rFonts w:hint="eastAsia" w:ascii="仿宋_GB2312" w:hAnsi="仿宋_GB2312" w:eastAsia="仿宋_GB2312" w:cs="仿宋_GB2312"/>
          <w:sz w:val="32"/>
          <w:szCs w:val="32"/>
        </w:rPr>
        <w:t>仲裁委员会提起仲裁。仲裁一裁终局，对双方均有约束力。</w:t>
      </w:r>
    </w:p>
    <w:p>
      <w:pPr>
        <w:keepNext w:val="0"/>
        <w:keepLines w:val="0"/>
        <w:pageBreakBefore w:val="0"/>
        <w:widowControl w:val="0"/>
        <w:numPr>
          <w:ilvl w:val="0"/>
          <w:numId w:val="2"/>
        </w:numPr>
        <w:kinsoku/>
        <w:wordWrap/>
        <w:overflowPunct/>
        <w:topLinePunct w:val="0"/>
        <w:autoSpaceDE/>
        <w:autoSpaceDN/>
        <w:bidi w:val="0"/>
        <w:adjustRightInd/>
        <w:snapToGrid/>
        <w:spacing w:line="556"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不可抗力</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因不可抗力（包括战争、罢工、自然灾害、重大公共安全事件、重大公共卫生事件等中国法律规定的不能预见、不能避免和不能克服的情形）而造成供货延迟，</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应在不可抗力事由发生之日起24小时内以书面形式通知</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，并在不可抗力事由发生之日起7日内提交不可抗力事由的书面证明。经</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要求，不可抗力事由解除后</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应尽可能采取措施履行交货义务，若不履行，</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有权解除合同且</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应当退还已经收取等货款。若不可抗力因素持续2周以上且</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确实无法履行合同，甲乙双方有权解除本合同，互不承担违约责任。</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已经收取等货款无息退还给</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w:t>
      </w:r>
    </w:p>
    <w:p>
      <w:pPr>
        <w:keepNext w:val="0"/>
        <w:keepLines w:val="0"/>
        <w:pageBreakBefore w:val="0"/>
        <w:widowControl w:val="0"/>
        <w:numPr>
          <w:ilvl w:val="0"/>
          <w:numId w:val="2"/>
        </w:numPr>
        <w:kinsoku/>
        <w:wordWrap/>
        <w:overflowPunct/>
        <w:topLinePunct w:val="0"/>
        <w:autoSpaceDE/>
        <w:autoSpaceDN/>
        <w:bidi w:val="0"/>
        <w:adjustRightInd/>
        <w:snapToGrid/>
        <w:spacing w:line="556"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合同效力</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本合同经双方法定代表人或委托代理人签字并加盖合同专用章或公章后即日生效。本合同一式肆份，双方各执贰份。本合同私自涂改无效。</w:t>
      </w:r>
    </w:p>
    <w:p>
      <w:pPr>
        <w:keepNext w:val="0"/>
        <w:keepLines w:val="0"/>
        <w:pageBreakBefore w:val="0"/>
        <w:widowControl w:val="0"/>
        <w:numPr>
          <w:ilvl w:val="0"/>
          <w:numId w:val="2"/>
        </w:numPr>
        <w:kinsoku/>
        <w:wordWrap/>
        <w:overflowPunct/>
        <w:topLinePunct w:val="0"/>
        <w:autoSpaceDE/>
        <w:autoSpaceDN/>
        <w:bidi w:val="0"/>
        <w:adjustRightInd/>
        <w:snapToGrid/>
        <w:spacing w:line="556"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十、通信地址</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地址：</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指定联系人：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甲方</w:t>
      </w:r>
      <w:r>
        <w:rPr>
          <w:rFonts w:hint="eastAsia" w:ascii="仿宋_GB2312" w:hAnsi="仿宋_GB2312" w:eastAsia="仿宋_GB2312" w:cs="仿宋_GB2312"/>
          <w:sz w:val="32"/>
          <w:szCs w:val="32"/>
        </w:rPr>
        <w:t>地址：</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指定联系人：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双方一致确认通信地址真实有效，为双方履行协议、解决争议时向接收其他方商业文件信函或司法机关诉讼文书的地址和联系方式。若出现拒收、代收、退回等情形，均视为已送达本方。任何一方更改地址应提前七日以书面形式通知对方。</w:t>
      </w:r>
    </w:p>
    <w:tbl>
      <w:tblPr>
        <w:tblStyle w:val="4"/>
        <w:tblpPr w:leftFromText="180" w:rightFromText="180" w:vertAnchor="text" w:horzAnchor="page" w:tblpX="1703" w:tblpY="87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9"/>
        <w:gridCol w:w="4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4" w:hRule="atLeast"/>
        </w:trPr>
        <w:tc>
          <w:tcPr>
            <w:tcW w:w="4759" w:type="dxa"/>
          </w:tcPr>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甲</w:t>
            </w:r>
            <w:r>
              <w:rPr>
                <w:rFonts w:hint="eastAsia" w:ascii="仿宋_GB2312" w:hAnsi="仿宋_GB2312" w:eastAsia="仿宋_GB2312" w:cs="仿宋_GB2312"/>
                <w:sz w:val="32"/>
                <w:szCs w:val="32"/>
              </w:rPr>
              <w:t xml:space="preserve">  方</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单位（盖章）：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地址：</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委托代理人（签字）：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电话/传真：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纳税人识别号：</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开户银行：</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对公帐号：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tc>
        <w:tc>
          <w:tcPr>
            <w:tcW w:w="4621" w:type="dxa"/>
          </w:tcPr>
          <w:p>
            <w:pPr>
              <w:keepNext w:val="0"/>
              <w:keepLines w:val="0"/>
              <w:pageBreakBefore w:val="0"/>
              <w:widowControl w:val="0"/>
              <w:kinsoku/>
              <w:wordWrap/>
              <w:overflowPunct/>
              <w:topLinePunct w:val="0"/>
              <w:autoSpaceDE/>
              <w:autoSpaceDN/>
              <w:bidi w:val="0"/>
              <w:adjustRightInd/>
              <w:snapToGrid/>
              <w:spacing w:line="55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乙</w:t>
            </w:r>
            <w:r>
              <w:rPr>
                <w:rFonts w:hint="eastAsia" w:ascii="仿宋_GB2312" w:hAnsi="仿宋_GB2312" w:eastAsia="仿宋_GB2312" w:cs="仿宋_GB2312"/>
                <w:sz w:val="32"/>
                <w:szCs w:val="32"/>
              </w:rPr>
              <w:t xml:space="preserve">  方</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单位（盖章）：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地址：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委托代理人（签字）：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电话/传真：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纳税人识别号：</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开户银行：</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56"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对公帐号：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    </w:t>
            </w:r>
          </w:p>
        </w:tc>
      </w:tr>
    </w:tbl>
    <w:p>
      <w:pPr>
        <w:keepNext w:val="0"/>
        <w:keepLines w:val="0"/>
        <w:pageBreakBefore w:val="0"/>
        <w:widowControl w:val="0"/>
        <w:kinsoku/>
        <w:wordWrap/>
        <w:overflowPunct/>
        <w:topLinePunct w:val="0"/>
        <w:autoSpaceDE/>
        <w:autoSpaceDN/>
        <w:bidi w:val="0"/>
        <w:adjustRightInd/>
        <w:snapToGrid/>
        <w:spacing w:line="556"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附件：产品清单</w:t>
      </w:r>
    </w:p>
    <w:p>
      <w:bookmarkStart w:id="0" w:name="_GoBack"/>
      <w:bookmarkEnd w:id="0"/>
    </w:p>
    <w:sectPr>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6A629D04"/>
    <w:multiLevelType w:val="singleLevel"/>
    <w:tmpl w:val="6A629D04"/>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52F3AB7"/>
    <w:rsid w:val="052F3AB7"/>
    <w:rsid w:val="134768DF"/>
    <w:rsid w:val="19E5114C"/>
    <w:rsid w:val="241724D8"/>
    <w:rsid w:val="2BE21A2F"/>
    <w:rsid w:val="34086058"/>
    <w:rsid w:val="361719C1"/>
    <w:rsid w:val="37512F06"/>
    <w:rsid w:val="499910CF"/>
    <w:rsid w:val="50CA2BBB"/>
    <w:rsid w:val="5FC15FA1"/>
    <w:rsid w:val="64047E51"/>
    <w:rsid w:val="65D57BE0"/>
    <w:rsid w:val="6D4E5FC4"/>
    <w:rsid w:val="732E26DE"/>
    <w:rsid w:val="7B965B1F"/>
    <w:rsid w:val="7CEB2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paragraph" w:styleId="3">
    <w:name w:val="footer"/>
    <w:basedOn w:val="1"/>
    <w:qFormat/>
    <w:uiPriority w:val="99"/>
    <w:pPr>
      <w:tabs>
        <w:tab w:val="center" w:pos="4153"/>
        <w:tab w:val="right" w:pos="8306"/>
      </w:tabs>
      <w:snapToGrid w:val="0"/>
      <w:jc w:val="left"/>
    </w:pPr>
    <w:rPr>
      <w:sz w:val="18"/>
      <w:szCs w:val="20"/>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6850</Words>
  <Characters>8319</Characters>
  <Lines>0</Lines>
  <Paragraphs>0</Paragraphs>
  <TotalTime>1</TotalTime>
  <ScaleCrop>false</ScaleCrop>
  <LinksUpToDate>false</LinksUpToDate>
  <CharactersWithSpaces>8662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dcterms:modified xsi:type="dcterms:W3CDTF">2023-12-01T02:45:05Z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76C9A4773B63434B9FC51B57D37D2DB1_11</vt:lpwstr>
  </property>
</Properties>
</file>