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shd w:val="clear" w:color="auto" w:fill="auto"/>
        <w:kinsoku/>
        <w:wordWrap/>
        <w:overflowPunct/>
        <w:topLinePunct w:val="0"/>
        <w:autoSpaceDE/>
        <w:autoSpaceDN/>
        <w:bidi w:val="0"/>
        <w:adjustRightInd/>
        <w:snapToGrid/>
        <w:spacing w:line="574" w:lineRule="exact"/>
        <w:textAlignment w:val="auto"/>
        <w:rPr>
          <w:rFonts w:hint="eastAsia"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附件1：</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center"/>
        <w:textAlignment w:val="auto"/>
        <w:rPr>
          <w:rFonts w:hint="eastAsia" w:ascii="仿宋" w:hAnsi="仿宋" w:eastAsia="仿宋" w:cs="仿宋"/>
          <w:b w:val="0"/>
          <w:bCs w:val="0"/>
          <w:sz w:val="32"/>
          <w:szCs w:val="32"/>
          <w:u w:val="none" w:color="auto"/>
        </w:rPr>
      </w:pPr>
      <w:r>
        <w:rPr>
          <w:rFonts w:hint="eastAsia" w:ascii="仿宋" w:hAnsi="仿宋" w:eastAsia="仿宋" w:cs="仿宋"/>
          <w:b w:val="0"/>
          <w:bCs w:val="0"/>
          <w:color w:val="auto"/>
          <w:sz w:val="44"/>
          <w:szCs w:val="44"/>
          <w:u w:val="none" w:color="auto"/>
          <w:lang w:val="en-US" w:eastAsia="zh-CN"/>
        </w:rPr>
        <w:t>招标需求</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eastAsia="zh-CN"/>
        </w:rPr>
      </w:pPr>
      <w:r>
        <w:rPr>
          <w:rFonts w:hint="eastAsia" w:ascii="黑体" w:hAnsi="黑体" w:eastAsia="黑体" w:cs="黑体"/>
          <w:b w:val="0"/>
          <w:bCs w:val="0"/>
          <w:sz w:val="32"/>
          <w:szCs w:val="32"/>
          <w:u w:val="none" w:color="auto"/>
          <w:lang w:val="en-US" w:eastAsia="zh-CN"/>
        </w:rPr>
        <w:t>一、</w:t>
      </w:r>
      <w:r>
        <w:rPr>
          <w:rFonts w:hint="eastAsia" w:ascii="黑体" w:hAnsi="黑体" w:eastAsia="黑体" w:cs="黑体"/>
          <w:b w:val="0"/>
          <w:bCs w:val="0"/>
          <w:sz w:val="32"/>
          <w:szCs w:val="32"/>
          <w:u w:val="none" w:color="auto"/>
        </w:rPr>
        <w:t>项目概述</w:t>
      </w:r>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eastAsia" w:ascii="仿宋" w:hAnsi="仿宋" w:eastAsia="仿宋" w:cs="仿宋"/>
          <w:b w:val="0"/>
          <w:bCs w:val="0"/>
          <w:sz w:val="32"/>
          <w:szCs w:val="32"/>
          <w:u w:val="none" w:color="auto"/>
          <w:lang w:val="en-US" w:eastAsia="zh-CN"/>
        </w:rPr>
      </w:pPr>
      <w:r>
        <w:rPr>
          <w:rFonts w:hint="eastAsia" w:ascii="仿宋" w:hAnsi="仿宋" w:eastAsia="仿宋" w:cs="仿宋"/>
          <w:b w:val="0"/>
          <w:bCs w:val="0"/>
          <w:sz w:val="32"/>
          <w:szCs w:val="32"/>
          <w:u w:val="none" w:color="auto"/>
          <w:lang w:val="en-US" w:eastAsia="zh-CN"/>
        </w:rPr>
        <w:t>为江油市李白故居文化旅游开发有限公司旗下江油大堰服务区旅游接待中心采购一批物资</w:t>
      </w:r>
      <w:bookmarkStart w:id="0" w:name="_GoBack"/>
      <w:bookmarkEnd w:id="0"/>
      <w:r>
        <w:rPr>
          <w:rFonts w:hint="eastAsia" w:ascii="仿宋" w:hAnsi="仿宋" w:eastAsia="仿宋" w:cs="仿宋"/>
          <w:b w:val="0"/>
          <w:bCs w:val="0"/>
          <w:sz w:val="32"/>
          <w:szCs w:val="32"/>
          <w:u w:val="none" w:color="auto"/>
          <w:lang w:eastAsia="zh-CN"/>
        </w:rPr>
        <w:t>。</w:t>
      </w:r>
    </w:p>
    <w:p>
      <w:pPr>
        <w:keepNext w:val="0"/>
        <w:keepLines w:val="0"/>
        <w:pageBreakBefore w:val="0"/>
        <w:widowControl w:val="0"/>
        <w:numPr>
          <w:ilvl w:val="0"/>
          <w:numId w:val="1"/>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eastAsia="zh-CN"/>
        </w:rPr>
      </w:pPr>
      <w:r>
        <w:rPr>
          <w:rFonts w:hint="eastAsia" w:ascii="黑体" w:hAnsi="黑体" w:eastAsia="黑体" w:cs="黑体"/>
          <w:b w:val="0"/>
          <w:bCs w:val="0"/>
          <w:sz w:val="32"/>
          <w:szCs w:val="32"/>
          <w:u w:val="none" w:color="auto"/>
        </w:rPr>
        <w:t>采购项目标的</w:t>
      </w:r>
      <w:r>
        <w:rPr>
          <w:rFonts w:hint="eastAsia" w:ascii="黑体" w:hAnsi="黑体" w:eastAsia="黑体" w:cs="黑体"/>
          <w:b w:val="0"/>
          <w:bCs w:val="0"/>
          <w:sz w:val="32"/>
          <w:szCs w:val="32"/>
          <w:u w:val="none" w:color="auto"/>
          <w:lang w:val="en-US" w:eastAsia="zh-CN"/>
        </w:rPr>
        <w:t>内容</w:t>
      </w:r>
      <w:r>
        <w:rPr>
          <w:rFonts w:hint="eastAsia" w:ascii="黑体" w:hAnsi="黑体" w:eastAsia="黑体" w:cs="黑体"/>
          <w:b w:val="0"/>
          <w:bCs w:val="0"/>
          <w:sz w:val="32"/>
          <w:szCs w:val="32"/>
          <w:u w:val="none" w:color="auto"/>
          <w:lang w:eastAsia="zh-CN"/>
        </w:rPr>
        <w:t>：</w:t>
      </w:r>
    </w:p>
    <w:tbl>
      <w:tblPr>
        <w:tblW w:w="1413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880"/>
        <w:gridCol w:w="2111"/>
        <w:gridCol w:w="1470"/>
        <w:gridCol w:w="3455"/>
        <w:gridCol w:w="1249"/>
        <w:gridCol w:w="1148"/>
        <w:gridCol w:w="880"/>
        <w:gridCol w:w="294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528" w:hRule="atLeast"/>
        </w:trPr>
        <w:tc>
          <w:tcPr>
            <w:tcW w:w="14136" w:type="dxa"/>
            <w:gridSpan w:val="8"/>
            <w:tcBorders>
              <w:top w:val="nil"/>
              <w:left w:val="nil"/>
              <w:bottom w:val="nil"/>
              <w:right w:val="nil"/>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36"/>
                <w:szCs w:val="36"/>
                <w:u w:val="none"/>
              </w:rPr>
            </w:pPr>
            <w:r>
              <w:rPr>
                <w:rFonts w:hint="eastAsia" w:ascii="宋体" w:hAnsi="宋体" w:eastAsia="宋体" w:cs="宋体"/>
                <w:b/>
                <w:bCs/>
                <w:i w:val="0"/>
                <w:iCs w:val="0"/>
                <w:color w:val="000000"/>
                <w:spacing w:val="0"/>
                <w:w w:val="100"/>
                <w:kern w:val="0"/>
                <w:position w:val="0"/>
                <w:sz w:val="36"/>
                <w:szCs w:val="36"/>
                <w:u w:val="none"/>
                <w:bdr w:val="none" w:color="auto" w:sz="0" w:space="0"/>
                <w:shd w:val="clear" w:color="auto" w:fill="auto"/>
                <w:lang w:val="en-US" w:eastAsia="zh-CN" w:bidi="ar"/>
              </w:rPr>
              <w:t>大雁收费站接待中心物资采购明细表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品牌</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规格型号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材质</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单位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数量</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3人位沙发</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280*95cm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皮质</w:t>
            </w: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45720</wp:posOffset>
                  </wp:positionH>
                  <wp:positionV relativeFrom="paragraph">
                    <wp:posOffset>59690</wp:posOffset>
                  </wp:positionV>
                  <wp:extent cx="1785620" cy="841375"/>
                  <wp:effectExtent l="0" t="0" r="5080" b="15875"/>
                  <wp:wrapNone/>
                  <wp:docPr id="11" name="图片_2"/>
                  <wp:cNvGraphicFramePr/>
                  <a:graphic xmlns:a="http://schemas.openxmlformats.org/drawingml/2006/main">
                    <a:graphicData uri="http://schemas.openxmlformats.org/drawingml/2006/picture">
                      <pic:pic xmlns:pic="http://schemas.openxmlformats.org/drawingml/2006/picture">
                        <pic:nvPicPr>
                          <pic:cNvPr id="11" name="图片_2"/>
                          <pic:cNvPicPr/>
                        </pic:nvPicPr>
                        <pic:blipFill>
                          <a:blip r:embed="rId7"/>
                          <a:stretch>
                            <a:fillRect/>
                          </a:stretch>
                        </pic:blipFill>
                        <pic:spPr>
                          <a:xfrm>
                            <a:off x="0" y="0"/>
                            <a:ext cx="1785620" cy="841375"/>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9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茶几</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120*650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玻璃</w:t>
            </w: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267970</wp:posOffset>
                  </wp:positionH>
                  <wp:positionV relativeFrom="paragraph">
                    <wp:posOffset>70485</wp:posOffset>
                  </wp:positionV>
                  <wp:extent cx="1029970" cy="756920"/>
                  <wp:effectExtent l="0" t="0" r="17780" b="5080"/>
                  <wp:wrapNone/>
                  <wp:docPr id="8" name="图片_5"/>
                  <wp:cNvGraphicFramePr/>
                  <a:graphic xmlns:a="http://schemas.openxmlformats.org/drawingml/2006/main">
                    <a:graphicData uri="http://schemas.openxmlformats.org/drawingml/2006/picture">
                      <pic:pic xmlns:pic="http://schemas.openxmlformats.org/drawingml/2006/picture">
                        <pic:nvPicPr>
                          <pic:cNvPr id="8" name="图片_5"/>
                          <pic:cNvPicPr/>
                        </pic:nvPicPr>
                        <pic:blipFill>
                          <a:blip r:embed="rId8"/>
                          <a:stretch>
                            <a:fillRect/>
                          </a:stretch>
                        </pic:blipFill>
                        <pic:spPr>
                          <a:xfrm>
                            <a:off x="0" y="0"/>
                            <a:ext cx="1029970" cy="756920"/>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36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3</w:t>
            </w:r>
          </w:p>
        </w:tc>
        <w:tc>
          <w:tcPr>
            <w:tcW w:w="16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成品仿竹</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1.5m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塑料</w:t>
            </w: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-29845</wp:posOffset>
                  </wp:positionH>
                  <wp:positionV relativeFrom="paragraph">
                    <wp:posOffset>-1905</wp:posOffset>
                  </wp:positionV>
                  <wp:extent cx="1758315" cy="828675"/>
                  <wp:effectExtent l="0" t="0" r="13335" b="9525"/>
                  <wp:wrapNone/>
                  <wp:docPr id="10" name="图片_3"/>
                  <wp:cNvGraphicFramePr/>
                  <a:graphic xmlns:a="http://schemas.openxmlformats.org/drawingml/2006/main">
                    <a:graphicData uri="http://schemas.openxmlformats.org/drawingml/2006/picture">
                      <pic:pic xmlns:pic="http://schemas.openxmlformats.org/drawingml/2006/picture">
                        <pic:nvPicPr>
                          <pic:cNvPr id="10" name="图片_3"/>
                          <pic:cNvPicPr/>
                        </pic:nvPicPr>
                        <pic:blipFill>
                          <a:blip r:embed="rId9"/>
                          <a:stretch>
                            <a:fillRect/>
                          </a:stretch>
                        </pic:blipFill>
                        <pic:spPr>
                          <a:xfrm>
                            <a:off x="0" y="0"/>
                            <a:ext cx="1758315" cy="828675"/>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14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立式柜机空调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TCL</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KFRd-72LW/DBP-BL23+B3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633095</wp:posOffset>
                  </wp:positionH>
                  <wp:positionV relativeFrom="paragraph">
                    <wp:posOffset>73660</wp:posOffset>
                  </wp:positionV>
                  <wp:extent cx="543560" cy="613410"/>
                  <wp:effectExtent l="0" t="0" r="8890" b="15240"/>
                  <wp:wrapNone/>
                  <wp:docPr id="2" name="图片_4"/>
                  <wp:cNvGraphicFramePr/>
                  <a:graphic xmlns:a="http://schemas.openxmlformats.org/drawingml/2006/main">
                    <a:graphicData uri="http://schemas.openxmlformats.org/drawingml/2006/picture">
                      <pic:pic xmlns:pic="http://schemas.openxmlformats.org/drawingml/2006/picture">
                        <pic:nvPicPr>
                          <pic:cNvPr id="2" name="图片_4"/>
                          <pic:cNvPicPr/>
                        </pic:nvPicPr>
                        <pic:blipFill>
                          <a:blip r:embed="rId10"/>
                          <a:stretch>
                            <a:fillRect/>
                          </a:stretch>
                        </pic:blipFill>
                        <pic:spPr>
                          <a:xfrm>
                            <a:off x="0" y="0"/>
                            <a:ext cx="543560" cy="613410"/>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72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双层窗帘</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蓝色</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布料</w:t>
            </w: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417830</wp:posOffset>
                  </wp:positionH>
                  <wp:positionV relativeFrom="paragraph">
                    <wp:posOffset>104775</wp:posOffset>
                  </wp:positionV>
                  <wp:extent cx="1003935" cy="916305"/>
                  <wp:effectExtent l="0" t="0" r="5715" b="17145"/>
                  <wp:wrapNone/>
                  <wp:docPr id="3" name="图片_6"/>
                  <wp:cNvGraphicFramePr/>
                  <a:graphic xmlns:a="http://schemas.openxmlformats.org/drawingml/2006/main">
                    <a:graphicData uri="http://schemas.openxmlformats.org/drawingml/2006/picture">
                      <pic:pic xmlns:pic="http://schemas.openxmlformats.org/drawingml/2006/picture">
                        <pic:nvPicPr>
                          <pic:cNvPr id="3" name="图片_6"/>
                          <pic:cNvPicPr/>
                        </pic:nvPicPr>
                        <pic:blipFill>
                          <a:blip r:embed="rId11"/>
                          <a:stretch>
                            <a:fillRect/>
                          </a:stretch>
                        </pic:blipFill>
                        <pic:spPr>
                          <a:xfrm>
                            <a:off x="0" y="0"/>
                            <a:ext cx="1003935" cy="916305"/>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0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6</w:t>
            </w:r>
          </w:p>
        </w:tc>
        <w:tc>
          <w:tcPr>
            <w:tcW w:w="1611"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桌椅（1桌4椅）</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262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桌直径：75cm</w:t>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椅宽：50cm</w:t>
            </w:r>
          </w:p>
        </w:tc>
        <w:tc>
          <w:tcPr>
            <w:tcW w:w="120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桌面岩板</w:t>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br w:type="textWrapping"/>
            </w: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椅子皮质</w:t>
            </w: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460375</wp:posOffset>
                  </wp:positionH>
                  <wp:positionV relativeFrom="paragraph">
                    <wp:posOffset>54610</wp:posOffset>
                  </wp:positionV>
                  <wp:extent cx="938530" cy="646430"/>
                  <wp:effectExtent l="0" t="0" r="13970" b="1270"/>
                  <wp:wrapNone/>
                  <wp:docPr id="4" name="图片_7"/>
                  <wp:cNvGraphicFramePr/>
                  <a:graphic xmlns:a="http://schemas.openxmlformats.org/drawingml/2006/main">
                    <a:graphicData uri="http://schemas.openxmlformats.org/drawingml/2006/picture">
                      <pic:pic xmlns:pic="http://schemas.openxmlformats.org/drawingml/2006/picture">
                        <pic:nvPicPr>
                          <pic:cNvPr id="4" name="图片_7"/>
                          <pic:cNvPicPr/>
                        </pic:nvPicPr>
                        <pic:blipFill>
                          <a:blip r:embed="rId12"/>
                          <a:stretch>
                            <a:fillRect/>
                          </a:stretch>
                        </pic:blipFill>
                        <pic:spPr>
                          <a:xfrm>
                            <a:off x="0" y="0"/>
                            <a:ext cx="938530" cy="646430"/>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茶水间储物柜</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水性科天</w:t>
            </w:r>
          </w:p>
        </w:tc>
        <w:tc>
          <w:tcPr>
            <w:tcW w:w="0" w:type="auto"/>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4.2*0.75</w:t>
            </w:r>
          </w:p>
        </w:tc>
        <w:tc>
          <w:tcPr>
            <w:tcW w:w="120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实木颗粒板</w:t>
            </w: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m</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4.2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-6350</wp:posOffset>
                  </wp:positionH>
                  <wp:positionV relativeFrom="paragraph">
                    <wp:posOffset>78740</wp:posOffset>
                  </wp:positionV>
                  <wp:extent cx="1753870" cy="982345"/>
                  <wp:effectExtent l="0" t="0" r="17780" b="8255"/>
                  <wp:wrapNone/>
                  <wp:docPr id="7" name="图片_8"/>
                  <wp:cNvGraphicFramePr/>
                  <a:graphic xmlns:a="http://schemas.openxmlformats.org/drawingml/2006/main">
                    <a:graphicData uri="http://schemas.openxmlformats.org/drawingml/2006/picture">
                      <pic:pic xmlns:pic="http://schemas.openxmlformats.org/drawingml/2006/picture">
                        <pic:nvPicPr>
                          <pic:cNvPr id="7" name="图片_8"/>
                          <pic:cNvPicPr/>
                        </pic:nvPicPr>
                        <pic:blipFill>
                          <a:blip r:embed="rId13"/>
                          <a:stretch>
                            <a:fillRect/>
                          </a:stretch>
                        </pic:blipFill>
                        <pic:spPr>
                          <a:xfrm>
                            <a:off x="0" y="0"/>
                            <a:ext cx="1753870" cy="982345"/>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成品花坛</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2625" w:type="dxa"/>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 xml:space="preserve">1.5m*0.18m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056"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260" w:hRule="atLeast"/>
        </w:trPr>
        <w:tc>
          <w:tcPr>
            <w:tcW w:w="0" w:type="auto"/>
            <w:tcBorders>
              <w:top w:val="single" w:color="000000" w:sz="4" w:space="0"/>
              <w:left w:val="single" w:color="000000" w:sz="4" w:space="0"/>
              <w:bottom w:val="single" w:color="auto"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9</w:t>
            </w:r>
          </w:p>
        </w:tc>
        <w:tc>
          <w:tcPr>
            <w:tcW w:w="0" w:type="auto"/>
            <w:tcBorders>
              <w:top w:val="single" w:color="000000" w:sz="4" w:space="0"/>
              <w:left w:val="single" w:color="000000" w:sz="4" w:space="0"/>
              <w:bottom w:val="single" w:color="auto"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成品装饰画</w:t>
            </w:r>
          </w:p>
        </w:tc>
        <w:tc>
          <w:tcPr>
            <w:tcW w:w="0" w:type="auto"/>
            <w:tcBorders>
              <w:top w:val="single" w:color="000000" w:sz="4" w:space="0"/>
              <w:left w:val="single" w:color="000000" w:sz="4" w:space="0"/>
              <w:bottom w:val="single" w:color="auto"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0" w:type="auto"/>
            <w:tcBorders>
              <w:top w:val="single" w:color="000000" w:sz="4" w:space="0"/>
              <w:left w:val="single" w:color="000000" w:sz="4" w:space="0"/>
              <w:bottom w:val="single" w:color="auto"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200*70cm</w:t>
            </w:r>
          </w:p>
        </w:tc>
        <w:tc>
          <w:tcPr>
            <w:tcW w:w="1206" w:type="dxa"/>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塑料边框喷绘印刷</w:t>
            </w:r>
          </w:p>
        </w:tc>
        <w:tc>
          <w:tcPr>
            <w:tcW w:w="1056" w:type="dxa"/>
            <w:tcBorders>
              <w:top w:val="single" w:color="000000" w:sz="4" w:space="0"/>
              <w:left w:val="single" w:color="000000" w:sz="4" w:space="0"/>
              <w:bottom w:val="single" w:color="auto" w:sz="4" w:space="0"/>
              <w:right w:val="single" w:color="000000"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副</w:t>
            </w:r>
          </w:p>
        </w:tc>
        <w:tc>
          <w:tcPr>
            <w:tcW w:w="0" w:type="auto"/>
            <w:tcBorders>
              <w:top w:val="single" w:color="000000" w:sz="4" w:space="0"/>
              <w:left w:val="single" w:color="000000" w:sz="4" w:space="0"/>
              <w:bottom w:val="single" w:color="auto"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w:t>
            </w:r>
          </w:p>
        </w:tc>
        <w:tc>
          <w:tcPr>
            <w:tcW w:w="0" w:type="auto"/>
            <w:tcBorders>
              <w:top w:val="single" w:color="000000" w:sz="4" w:space="0"/>
              <w:left w:val="single" w:color="000000" w:sz="4" w:space="0"/>
              <w:bottom w:val="single" w:color="auto"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92075</wp:posOffset>
                  </wp:positionH>
                  <wp:positionV relativeFrom="paragraph">
                    <wp:posOffset>118110</wp:posOffset>
                  </wp:positionV>
                  <wp:extent cx="1610995" cy="643890"/>
                  <wp:effectExtent l="0" t="0" r="8255" b="3810"/>
                  <wp:wrapNone/>
                  <wp:docPr id="5" name="图片_9"/>
                  <wp:cNvGraphicFramePr/>
                  <a:graphic xmlns:a="http://schemas.openxmlformats.org/drawingml/2006/main">
                    <a:graphicData uri="http://schemas.openxmlformats.org/drawingml/2006/picture">
                      <pic:pic xmlns:pic="http://schemas.openxmlformats.org/drawingml/2006/picture">
                        <pic:nvPicPr>
                          <pic:cNvPr id="5" name="图片_9"/>
                          <pic:cNvPicPr/>
                        </pic:nvPicPr>
                        <pic:blipFill>
                          <a:blip r:embed="rId14"/>
                          <a:stretch>
                            <a:fillRect/>
                          </a:stretch>
                        </pic:blipFill>
                        <pic:spPr>
                          <a:xfrm>
                            <a:off x="0" y="0"/>
                            <a:ext cx="1610995" cy="643890"/>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10</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防潮镜</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75*100cm</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1056"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spacing w:val="0"/>
                <w:w w:val="100"/>
                <w:kern w:val="0"/>
                <w:position w:val="0"/>
                <w:sz w:val="20"/>
                <w:szCs w:val="20"/>
                <w:u w:val="none"/>
                <w:bdr w:val="none" w:color="auto" w:sz="0" w:space="0"/>
                <w:shd w:val="clear" w:color="auto" w:fill="auto"/>
                <w:lang w:val="en-US" w:eastAsia="zh-CN" w:bidi="ar"/>
              </w:rPr>
              <w:t>面</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-8255</wp:posOffset>
                  </wp:positionH>
                  <wp:positionV relativeFrom="paragraph">
                    <wp:posOffset>116205</wp:posOffset>
                  </wp:positionV>
                  <wp:extent cx="1839595" cy="800735"/>
                  <wp:effectExtent l="0" t="0" r="8255" b="18415"/>
                  <wp:wrapNone/>
                  <wp:docPr id="6" name="图片_10"/>
                  <wp:cNvGraphicFramePr/>
                  <a:graphic xmlns:a="http://schemas.openxmlformats.org/drawingml/2006/main">
                    <a:graphicData uri="http://schemas.openxmlformats.org/drawingml/2006/picture">
                      <pic:pic xmlns:pic="http://schemas.openxmlformats.org/drawingml/2006/picture">
                        <pic:nvPicPr>
                          <pic:cNvPr id="6" name="图片_10"/>
                          <pic:cNvPicPr/>
                        </pic:nvPicPr>
                        <pic:blipFill>
                          <a:blip r:embed="rId15"/>
                          <a:stretch>
                            <a:fillRect/>
                          </a:stretch>
                        </pic:blipFill>
                        <pic:spPr>
                          <a:xfrm>
                            <a:off x="0" y="0"/>
                            <a:ext cx="1839595" cy="800735"/>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40" w:hRule="atLeast"/>
        </w:trPr>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11</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马桶坐垫盒</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42cm*27.7cm</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塑料</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个</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含6包一次性坐垫纸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12</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电视</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长虹</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65D4PS LMUG</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台</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single" w:color="000000" w:sz="4" w:space="0"/>
                <w:shd w:val="clear" w:color="auto" w:fill="auto"/>
                <w:lang w:val="en-US" w:eastAsia="zh-CN" w:bidi="ar"/>
              </w:rPr>
              <w:drawing>
                <wp:anchor distT="0" distB="0" distL="114300" distR="114300" simplePos="0" relativeHeight="251659264" behindDoc="0" locked="0" layoutInCell="1" allowOverlap="1">
                  <wp:simplePos x="0" y="0"/>
                  <wp:positionH relativeFrom="column">
                    <wp:posOffset>34290</wp:posOffset>
                  </wp:positionH>
                  <wp:positionV relativeFrom="paragraph">
                    <wp:posOffset>89535</wp:posOffset>
                  </wp:positionV>
                  <wp:extent cx="1711325" cy="593725"/>
                  <wp:effectExtent l="0" t="0" r="3175" b="15875"/>
                  <wp:wrapNone/>
                  <wp:docPr id="9" name="图片_1"/>
                  <wp:cNvGraphicFramePr/>
                  <a:graphic xmlns:a="http://schemas.openxmlformats.org/drawingml/2006/main">
                    <a:graphicData uri="http://schemas.openxmlformats.org/drawingml/2006/picture">
                      <pic:pic xmlns:pic="http://schemas.openxmlformats.org/drawingml/2006/picture">
                        <pic:nvPicPr>
                          <pic:cNvPr id="9" name="图片_1"/>
                          <pic:cNvPicPr/>
                        </pic:nvPicPr>
                        <pic:blipFill>
                          <a:blip r:embed="rId16"/>
                          <a:stretch>
                            <a:fillRect/>
                          </a:stretch>
                        </pic:blipFill>
                        <pic:spPr>
                          <a:xfrm>
                            <a:off x="0" y="0"/>
                            <a:ext cx="1711325" cy="593725"/>
                          </a:xfrm>
                          <a:prstGeom prst="rect">
                            <a:avLst/>
                          </a:prstGeom>
                          <a:noFill/>
                          <a:ln w="9525">
                            <a:noFill/>
                          </a:ln>
                        </pic:spPr>
                      </pic:pic>
                    </a:graphicData>
                  </a:graphic>
                </wp:anchor>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20" w:hRule="atLeast"/>
        </w:trPr>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13</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音响</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先科</w:t>
            </w:r>
          </w:p>
        </w:tc>
        <w:tc>
          <w:tcPr>
            <w:tcW w:w="0" w:type="auto"/>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SA-9010/1拖4</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jc w:val="center"/>
              <w:rPr>
                <w:rFonts w:hint="eastAsia" w:ascii="宋体" w:hAnsi="宋体" w:eastAsia="宋体" w:cs="宋体"/>
                <w:i w:val="0"/>
                <w:iCs w:val="0"/>
                <w:color w:val="000000"/>
                <w:sz w:val="22"/>
                <w:szCs w:val="22"/>
                <w:u w:val="none"/>
              </w:rPr>
            </w:pP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套</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含播放器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1080" w:hRule="atLeast"/>
        </w:trPr>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14</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百叶窗帘</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定制</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1.45m*1.65m*2m</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塑料</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套</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bdr w:val="none" w:color="auto" w:sz="0" w:space="0"/>
                <w:shd w:val="clear" w:color="auto" w:fill="auto"/>
                <w:lang w:val="en-US" w:eastAsia="zh-CN" w:bidi="ar"/>
              </w:rPr>
              <w:t>2</w:t>
            </w:r>
          </w:p>
        </w:tc>
        <w:tc>
          <w:tcPr>
            <w:tcW w:w="0" w:type="auto"/>
            <w:tcBorders>
              <w:top w:val="single" w:color="auto" w:sz="4" w:space="0"/>
              <w:left w:val="single" w:color="auto" w:sz="4" w:space="0"/>
              <w:bottom w:val="single" w:color="auto" w:sz="4" w:space="0"/>
              <w:right w:val="single" w:color="auto" w:sz="4" w:space="0"/>
            </w:tcBorders>
            <w:shd w:val="clear"/>
            <w:noWrap/>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textAlignment w:val="auto"/>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注：1.报价需包含人工费、材料费、运输费、装卸费、税金、调试费、安装费等费用；</w:t>
      </w:r>
    </w:p>
    <w:p>
      <w:pPr>
        <w:keepNext w:val="0"/>
        <w:keepLines w:val="0"/>
        <w:pageBreakBefore w:val="0"/>
        <w:widowControl w:val="0"/>
        <w:numPr>
          <w:ilvl w:val="0"/>
          <w:numId w:val="0"/>
        </w:numPr>
        <w:kinsoku/>
        <w:wordWrap/>
        <w:overflowPunct/>
        <w:topLinePunct w:val="0"/>
        <w:autoSpaceDE/>
        <w:autoSpaceDN/>
        <w:bidi w:val="0"/>
        <w:adjustRightInd/>
        <w:snapToGrid/>
        <w:spacing w:line="574" w:lineRule="exact"/>
        <w:ind w:right="0" w:rightChars="0" w:firstLine="640" w:firstLineChars="200"/>
        <w:textAlignment w:val="auto"/>
        <w:rPr>
          <w:rFonts w:hint="default"/>
          <w:lang w:val="en-US" w:eastAsia="zh-CN"/>
        </w:rPr>
      </w:pP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2.供应产品必须是上述明细表中品牌。</w:t>
      </w: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eastAsia" w:ascii="黑体" w:hAnsi="黑体" w:eastAsia="黑体" w:cs="黑体"/>
          <w:b w:val="0"/>
          <w:bCs w:val="0"/>
          <w:sz w:val="32"/>
          <w:szCs w:val="32"/>
          <w:u w:val="none" w:color="auto"/>
          <w:lang w:val="en-US" w:eastAsia="zh-CN"/>
        </w:rPr>
        <w:sectPr>
          <w:footerReference r:id="rId5" w:type="default"/>
          <w:pgSz w:w="16838" w:h="11906" w:orient="landscape"/>
          <w:pgMar w:top="1803" w:right="1440" w:bottom="1803" w:left="1440" w:header="851" w:footer="992" w:gutter="0"/>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firstLine="640" w:firstLineChars="200"/>
        <w:textAlignment w:val="auto"/>
        <w:rPr>
          <w:rFonts w:hint="default" w:ascii="黑体" w:hAnsi="黑体" w:eastAsia="黑体" w:cs="黑体"/>
          <w:b w:val="0"/>
          <w:bCs w:val="0"/>
          <w:sz w:val="32"/>
          <w:szCs w:val="32"/>
          <w:u w:val="none" w:color="auto"/>
          <w:lang w:val="en-US" w:eastAsia="zh-CN"/>
        </w:rPr>
      </w:pPr>
      <w:r>
        <w:rPr>
          <w:rFonts w:hint="eastAsia" w:ascii="黑体" w:hAnsi="黑体" w:eastAsia="黑体" w:cs="黑体"/>
          <w:b w:val="0"/>
          <w:bCs w:val="0"/>
          <w:sz w:val="32"/>
          <w:szCs w:val="32"/>
          <w:u w:val="none" w:color="auto"/>
          <w:lang w:val="en-US" w:eastAsia="zh-CN"/>
        </w:rPr>
        <w:t>三、商务要求</w:t>
      </w:r>
    </w:p>
    <w:tbl>
      <w:tblPr>
        <w:tblStyle w:val="5"/>
        <w:tblW w:w="86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5"/>
        <w:gridCol w:w="2835"/>
        <w:gridCol w:w="4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91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序号</w:t>
            </w:r>
          </w:p>
        </w:tc>
        <w:tc>
          <w:tcPr>
            <w:tcW w:w="2835"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内容</w:t>
            </w:r>
          </w:p>
        </w:tc>
        <w:tc>
          <w:tcPr>
            <w:tcW w:w="4892" w:type="dxa"/>
            <w:noWrap w:val="0"/>
            <w:vAlign w:val="center"/>
          </w:tcPr>
          <w:p>
            <w:pPr>
              <w:adjustRightInd w:val="0"/>
              <w:spacing w:line="320" w:lineRule="exact"/>
              <w:jc w:val="center"/>
              <w:rPr>
                <w:rFonts w:ascii="宋体" w:hAnsi="宋体"/>
                <w:b/>
                <w:bCs/>
                <w:spacing w:val="8"/>
                <w:sz w:val="24"/>
              </w:rPr>
            </w:pPr>
            <w:r>
              <w:rPr>
                <w:rFonts w:hint="eastAsia" w:ascii="宋体" w:hAnsi="宋体"/>
                <w:b/>
                <w:bCs/>
                <w:spacing w:val="8"/>
                <w:sz w:val="24"/>
              </w:rPr>
              <w:t>招标/采购要求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hint="eastAsia" w:ascii="宋体" w:hAnsi="宋体" w:cs="宋体"/>
                <w:kern w:val="0"/>
                <w:sz w:val="24"/>
                <w:lang w:val="zh-CN"/>
              </w:rPr>
              <w:t>1</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交货时间/工期要求</w:t>
            </w:r>
          </w:p>
        </w:tc>
        <w:tc>
          <w:tcPr>
            <w:tcW w:w="4892" w:type="dxa"/>
            <w:noWrap w:val="0"/>
            <w:vAlign w:val="top"/>
          </w:tcPr>
          <w:p>
            <w:pPr>
              <w:spacing w:line="360" w:lineRule="auto"/>
              <w:ind w:firstLine="512" w:firstLineChars="200"/>
              <w:rPr>
                <w:rFonts w:ascii="宋体" w:hAnsi="宋体"/>
                <w:bCs/>
                <w:spacing w:val="8"/>
                <w:sz w:val="24"/>
              </w:rPr>
            </w:pPr>
            <w:r>
              <w:rPr>
                <w:rFonts w:hint="eastAsia" w:ascii="宋体" w:hAnsi="宋体"/>
                <w:bCs/>
                <w:spacing w:val="8"/>
                <w:sz w:val="24"/>
              </w:rPr>
              <w:t>合同签订后</w:t>
            </w:r>
            <w:r>
              <w:rPr>
                <w:rFonts w:hint="eastAsia" w:ascii="宋体" w:hAnsi="宋体" w:eastAsia="宋体"/>
                <w:bCs/>
                <w:spacing w:val="8"/>
                <w:sz w:val="24"/>
                <w:lang w:val="en-US" w:eastAsia="zh-CN"/>
              </w:rPr>
              <w:t>15</w:t>
            </w:r>
            <w:r>
              <w:rPr>
                <w:rFonts w:hint="eastAsia" w:ascii="宋体" w:hAnsi="宋体"/>
                <w:bCs/>
                <w:spacing w:val="8"/>
                <w:sz w:val="24"/>
              </w:rPr>
              <w:t>个工作日交付使用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hint="eastAsia" w:ascii="宋体" w:hAnsi="宋体" w:cs="宋体"/>
                <w:kern w:val="0"/>
                <w:sz w:val="24"/>
                <w:lang w:val="zh-CN"/>
              </w:rPr>
              <w:t>2</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交货</w:t>
            </w:r>
            <w:r>
              <w:rPr>
                <w:rFonts w:ascii="宋体" w:hAnsi="宋体" w:cs="宋体"/>
                <w:kern w:val="0"/>
                <w:sz w:val="24"/>
                <w:lang w:val="zh-CN"/>
              </w:rPr>
              <w:t>地点</w:t>
            </w:r>
          </w:p>
        </w:tc>
        <w:tc>
          <w:tcPr>
            <w:tcW w:w="4892" w:type="dxa"/>
            <w:noWrap w:val="0"/>
            <w:vAlign w:val="top"/>
          </w:tcPr>
          <w:p>
            <w:pPr>
              <w:spacing w:line="360" w:lineRule="auto"/>
              <w:ind w:firstLine="512" w:firstLineChars="200"/>
              <w:rPr>
                <w:rFonts w:hint="default" w:ascii="宋体" w:hAnsi="宋体" w:eastAsia="宋体"/>
                <w:bCs/>
                <w:spacing w:val="8"/>
                <w:sz w:val="24"/>
                <w:lang w:val="en-US" w:eastAsia="zh-CN"/>
              </w:rPr>
            </w:pPr>
            <w:r>
              <w:rPr>
                <w:rFonts w:hint="eastAsia" w:ascii="宋体" w:hAnsi="宋体" w:eastAsia="宋体"/>
                <w:bCs/>
                <w:spacing w:val="8"/>
                <w:sz w:val="24"/>
                <w:lang w:val="en-US" w:eastAsia="zh-CN"/>
              </w:rPr>
              <w:t>江油大堰服务区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ascii="宋体" w:hAnsi="宋体" w:cs="宋体"/>
                <w:kern w:val="0"/>
                <w:sz w:val="24"/>
                <w:lang w:val="zh-CN"/>
              </w:rPr>
              <w:t>3</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履约、验收要求与标准</w:t>
            </w:r>
          </w:p>
        </w:tc>
        <w:tc>
          <w:tcPr>
            <w:tcW w:w="4892" w:type="dxa"/>
            <w:noWrap w:val="0"/>
            <w:vAlign w:val="top"/>
          </w:tcPr>
          <w:p>
            <w:pPr>
              <w:autoSpaceDE w:val="0"/>
              <w:autoSpaceDN w:val="0"/>
              <w:spacing w:line="360" w:lineRule="auto"/>
              <w:rPr>
                <w:rFonts w:ascii="宋体" w:hAnsi="宋体"/>
                <w:bCs/>
                <w:spacing w:val="8"/>
                <w:sz w:val="24"/>
              </w:rPr>
            </w:pPr>
            <w:r>
              <w:rPr>
                <w:rFonts w:ascii="宋体" w:hAnsi="宋体"/>
                <w:bCs/>
                <w:spacing w:val="8"/>
                <w:sz w:val="24"/>
              </w:rPr>
              <w:t>按照采购技术参数要求及行业标准验收。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915" w:type="dxa"/>
            <w:noWrap w:val="0"/>
            <w:vAlign w:val="center"/>
          </w:tcPr>
          <w:p>
            <w:pPr>
              <w:adjustRightInd w:val="0"/>
              <w:spacing w:line="320" w:lineRule="exact"/>
              <w:jc w:val="center"/>
              <w:rPr>
                <w:rFonts w:ascii="宋体" w:hAnsi="宋体" w:cs="宋体"/>
                <w:kern w:val="0"/>
                <w:sz w:val="24"/>
                <w:lang w:val="zh-CN"/>
              </w:rPr>
            </w:pPr>
            <w:r>
              <w:rPr>
                <w:rFonts w:ascii="宋体" w:hAnsi="宋体" w:cs="宋体"/>
                <w:kern w:val="0"/>
                <w:sz w:val="24"/>
                <w:lang w:val="zh-CN"/>
              </w:rPr>
              <w:t>4</w:t>
            </w:r>
          </w:p>
        </w:tc>
        <w:tc>
          <w:tcPr>
            <w:tcW w:w="2835" w:type="dxa"/>
            <w:noWrap w:val="0"/>
            <w:vAlign w:val="center"/>
          </w:tcPr>
          <w:p>
            <w:pPr>
              <w:adjustRightInd w:val="0"/>
              <w:spacing w:line="320" w:lineRule="exact"/>
              <w:rPr>
                <w:rFonts w:ascii="宋体" w:hAnsi="宋体" w:cs="宋体"/>
                <w:kern w:val="0"/>
                <w:sz w:val="24"/>
                <w:lang w:val="zh-CN"/>
              </w:rPr>
            </w:pPr>
            <w:r>
              <w:rPr>
                <w:rFonts w:hint="eastAsia" w:ascii="宋体" w:hAnsi="宋体" w:cs="宋体"/>
                <w:kern w:val="0"/>
                <w:sz w:val="24"/>
                <w:lang w:val="zh-CN"/>
              </w:rPr>
              <w:t>款项支付方式、进度</w:t>
            </w:r>
          </w:p>
        </w:tc>
        <w:tc>
          <w:tcPr>
            <w:tcW w:w="4892" w:type="dxa"/>
            <w:noWrap w:val="0"/>
            <w:vAlign w:val="top"/>
          </w:tcPr>
          <w:p>
            <w:pPr>
              <w:rPr>
                <w:rFonts w:hint="default" w:ascii="宋体" w:hAnsi="宋体" w:eastAsia="宋体"/>
                <w:bCs/>
                <w:spacing w:val="8"/>
                <w:sz w:val="24"/>
                <w:lang w:val="en-US" w:eastAsia="zh-CN"/>
              </w:rPr>
            </w:pPr>
            <w:r>
              <w:rPr>
                <w:rFonts w:hint="eastAsia" w:ascii="宋体" w:hAnsi="宋体" w:eastAsia="宋体"/>
                <w:bCs/>
                <w:spacing w:val="8"/>
                <w:sz w:val="24"/>
                <w:lang w:val="en-US" w:eastAsia="zh-CN"/>
              </w:rPr>
              <w:t>详见附件5：合同主要条款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15" w:type="dxa"/>
            <w:noWrap w:val="0"/>
            <w:vAlign w:val="center"/>
          </w:tcPr>
          <w:p>
            <w:pPr>
              <w:adjustRightInd w:val="0"/>
              <w:spacing w:line="320" w:lineRule="exact"/>
              <w:jc w:val="center"/>
              <w:rPr>
                <w:rFonts w:hint="default" w:ascii="宋体" w:hAnsi="宋体" w:eastAsia="宋体" w:cs="宋体"/>
                <w:kern w:val="0"/>
                <w:sz w:val="24"/>
                <w:lang w:val="en-US" w:eastAsia="zh-CN"/>
              </w:rPr>
            </w:pPr>
            <w:r>
              <w:rPr>
                <w:rFonts w:hint="eastAsia" w:ascii="宋体" w:hAnsi="宋体" w:eastAsia="宋体" w:cs="宋体"/>
                <w:kern w:val="0"/>
                <w:sz w:val="24"/>
                <w:lang w:val="en-US" w:eastAsia="zh-CN"/>
              </w:rPr>
              <w:t>5</w:t>
            </w:r>
          </w:p>
        </w:tc>
        <w:tc>
          <w:tcPr>
            <w:tcW w:w="2835" w:type="dxa"/>
            <w:noWrap w:val="0"/>
            <w:vAlign w:val="center"/>
          </w:tcPr>
          <w:p>
            <w:pPr>
              <w:shd w:val="clear" w:color="auto" w:fill="auto"/>
              <w:adjustRightInd w:val="0"/>
              <w:spacing w:line="320" w:lineRule="exact"/>
              <w:jc w:val="left"/>
              <w:rPr>
                <w:rFonts w:hint="eastAsia" w:ascii="宋体" w:hAnsi="宋体" w:eastAsia="宋体" w:cs="宋体"/>
                <w:kern w:val="0"/>
                <w:sz w:val="24"/>
                <w:lang w:val="zh-CN" w:eastAsia="zh-CN"/>
              </w:rPr>
            </w:pPr>
            <w:r>
              <w:rPr>
                <w:rFonts w:hint="eastAsia" w:ascii="宋体" w:hAnsi="宋体" w:eastAsia="宋体" w:cs="宋体"/>
                <w:kern w:val="0"/>
                <w:sz w:val="24"/>
                <w:lang w:val="zh-CN" w:eastAsia="zh-CN"/>
              </w:rPr>
              <w:t>其他</w:t>
            </w:r>
          </w:p>
        </w:tc>
        <w:tc>
          <w:tcPr>
            <w:tcW w:w="4892" w:type="dxa"/>
            <w:noWrap w:val="0"/>
            <w:vAlign w:val="top"/>
          </w:tcPr>
          <w:p>
            <w:pPr>
              <w:shd w:val="clear" w:color="auto" w:fill="auto"/>
              <w:adjustRightInd w:val="0"/>
              <w:spacing w:line="320" w:lineRule="exact"/>
              <w:jc w:val="center"/>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无</w:t>
            </w:r>
          </w:p>
        </w:tc>
      </w:tr>
    </w:tbl>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pPr>
    </w:p>
    <w:p>
      <w:pPr>
        <w:keepNext w:val="0"/>
        <w:keepLines w:val="0"/>
        <w:pageBreakBefore w:val="0"/>
        <w:shd w:val="clear" w:color="auto" w:fill="auto"/>
        <w:wordWrap/>
        <w:overflowPunct/>
        <w:topLinePunct w:val="0"/>
        <w:bidi w:val="0"/>
        <w:spacing w:line="540" w:lineRule="exact"/>
        <w:rPr>
          <w:rFonts w:hint="eastAsia" w:ascii="仿宋" w:hAnsi="仿宋" w:eastAsia="仿宋" w:cs="仿宋"/>
          <w:b w:val="0"/>
          <w:bCs w:val="0"/>
          <w:color w:val="auto"/>
          <w:sz w:val="32"/>
          <w:szCs w:val="32"/>
          <w:u w:val="none" w:color="auto"/>
          <w:lang w:val="en-US" w:eastAsia="zh-CN"/>
        </w:rPr>
        <w:sectPr>
          <w:pgSz w:w="11906" w:h="16838"/>
          <w:pgMar w:top="1440" w:right="1803" w:bottom="1440" w:left="1803" w:header="851" w:footer="992" w:gutter="0"/>
          <w:paperSrc/>
          <w:cols w:space="0" w:num="1"/>
          <w:rtlGutter w:val="0"/>
          <w:docGrid w:type="lines" w:linePitch="332" w:charSpace="0"/>
        </w:sectPr>
      </w:pPr>
    </w:p>
    <w:p>
      <w:pPr>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line="574" w:lineRule="exact"/>
        <w:ind w:right="0" w:rightChars="0"/>
        <w:jc w:val="both"/>
        <w:textAlignment w:val="auto"/>
        <w:rPr>
          <w:rFonts w:hint="default" w:ascii="仿宋" w:hAnsi="仿宋" w:eastAsia="仿宋" w:cs="仿宋"/>
          <w:b w:val="0"/>
          <w:bCs w:val="0"/>
          <w:color w:val="auto"/>
          <w:sz w:val="32"/>
          <w:szCs w:val="32"/>
          <w:u w:val="none" w:color="auto"/>
          <w:lang w:val="en-US" w:eastAsia="zh-CN"/>
        </w:rPr>
      </w:pPr>
      <w:r>
        <w:rPr>
          <w:rFonts w:hint="eastAsia" w:ascii="仿宋" w:hAnsi="仿宋" w:eastAsia="仿宋" w:cs="仿宋"/>
          <w:b w:val="0"/>
          <w:bCs w:val="0"/>
          <w:color w:val="auto"/>
          <w:sz w:val="32"/>
          <w:szCs w:val="32"/>
          <w:u w:val="none" w:color="auto"/>
          <w:lang w:val="en-US" w:eastAsia="zh-CN"/>
        </w:rPr>
        <w:t>附件2：竞标函</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lang w:val="en-US" w:eastAsia="zh-CN"/>
        </w:rPr>
      </w:pPr>
      <w:r>
        <w:rPr>
          <w:rFonts w:hint="eastAsia" w:ascii="方正小标宋简体" w:hAnsi="方正小标宋简体" w:eastAsia="方正小标宋简体" w:cs="方正小标宋简体"/>
          <w:b w:val="0"/>
          <w:bCs w:val="0"/>
          <w:sz w:val="44"/>
          <w:szCs w:val="44"/>
          <w:lang w:val="en-US" w:eastAsia="zh-CN"/>
        </w:rPr>
        <w:t>大堰服务区旅游接待中心物资采购项目</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b w:val="0"/>
          <w:bCs w:val="0"/>
          <w:sz w:val="32"/>
          <w:szCs w:val="32"/>
          <w:lang w:val="en-US" w:eastAsia="zh-CN"/>
        </w:rPr>
      </w:pPr>
      <w:r>
        <w:rPr>
          <w:rFonts w:hint="eastAsia" w:ascii="方正小标宋简体" w:hAnsi="方正小标宋简体" w:eastAsia="方正小标宋简体" w:cs="方正小标宋简体"/>
          <w:b w:val="0"/>
          <w:bCs w:val="0"/>
          <w:sz w:val="44"/>
          <w:szCs w:val="44"/>
          <w:lang w:val="en-US" w:eastAsia="zh-CN"/>
        </w:rPr>
        <w:t>比选竞标函</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江油市李白故居文化旅游开发有限公司：</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我方全面研究了“大堰服务区旅游接待中心物资采购项目比选竞标函”，决定参加贵单位组织的本项目比选，并自觉遵守采购相关规定，遵守采购规则，维护正常的采购秩序。</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u w:val="single"/>
          <w:lang w:val="en-US" w:eastAsia="zh-CN"/>
        </w:rPr>
      </w:pPr>
      <w:r>
        <w:rPr>
          <w:rFonts w:hint="eastAsia" w:ascii="仿宋" w:hAnsi="仿宋" w:eastAsia="仿宋" w:cs="仿宋"/>
          <w:sz w:val="32"/>
          <w:szCs w:val="32"/>
          <w:lang w:val="en-US" w:eastAsia="zh-CN"/>
        </w:rPr>
        <w:t>1、我方自愿按照比选公告规定的各项要求向采购人提供所需物资及服务，提供的物资及服务等所有权及知识产权等权利无瑕疵。总报价为含税价</w:t>
      </w:r>
      <w:r>
        <w:rPr>
          <w:rFonts w:hint="eastAsia" w:ascii="仿宋" w:hAnsi="仿宋" w:eastAsia="仿宋" w:cs="仿宋"/>
          <w:sz w:val="32"/>
          <w:szCs w:val="32"/>
          <w:u w:val="single"/>
          <w:lang w:val="en-US" w:eastAsia="zh-CN"/>
        </w:rPr>
        <w:t>人民币       万元（大写：        ）</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2、一旦我方成交，我方将严格履行合同规定的责任和义务，保证于合同约定日期内完成项目的履约，并交付采购人验收、使用。</w:t>
      </w:r>
    </w:p>
    <w:p>
      <w:pPr>
        <w:keepNext w:val="0"/>
        <w:keepLines w:val="0"/>
        <w:pageBreakBefore w:val="0"/>
        <w:widowControl w:val="0"/>
        <w:shd w:val="clear" w:color="auto" w:fill="auto"/>
        <w:kinsoku/>
        <w:wordWrap/>
        <w:overflowPunct/>
        <w:topLinePunct w:val="0"/>
        <w:autoSpaceDE/>
        <w:autoSpaceDN/>
        <w:bidi w:val="0"/>
        <w:adjustRightInd/>
        <w:snapToGrid/>
        <w:spacing w:line="574" w:lineRule="exact"/>
        <w:ind w:firstLine="640" w:firstLineChars="200"/>
        <w:jc w:val="both"/>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3、我方对提供资料的真实性负责。如经查实我公司提供的资料存在虚假，我方愿意接受以提供虚假材料谋取中标追究法律责任。</w:t>
      </w:r>
    </w:p>
    <w:p>
      <w:pPr>
        <w:pStyle w:val="3"/>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附件：项目报价清单</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center"/>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 xml:space="preserve">            投标方：  </w:t>
      </w: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p>
    <w:p>
      <w:pPr>
        <w:keepNext w:val="0"/>
        <w:keepLines w:val="0"/>
        <w:pageBreakBefore w:val="0"/>
        <w:widowControl w:val="0"/>
        <w:kinsoku/>
        <w:wordWrap/>
        <w:overflowPunct/>
        <w:topLinePunct w:val="0"/>
        <w:autoSpaceDE/>
        <w:autoSpaceDN/>
        <w:bidi w:val="0"/>
        <w:adjustRightInd/>
        <w:snapToGrid/>
        <w:spacing w:line="574" w:lineRule="exact"/>
        <w:ind w:firstLine="640" w:firstLineChars="200"/>
        <w:jc w:val="righ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投标时间：  年  月  日</w:t>
      </w:r>
    </w:p>
    <w:p>
      <w:pPr>
        <w:pStyle w:val="3"/>
        <w:shd w:val="clear" w:color="auto" w:fill="auto"/>
        <w:rPr>
          <w:rFonts w:hint="eastAsia" w:ascii="仿宋" w:hAnsi="仿宋" w:eastAsia="仿宋" w:cs="仿宋"/>
          <w:sz w:val="32"/>
          <w:szCs w:val="32"/>
          <w:u w:val="none"/>
          <w:lang w:val="en-US" w:eastAsia="zh-CN"/>
        </w:rPr>
        <w:sectPr>
          <w:pgSz w:w="11906" w:h="16838"/>
          <w:pgMar w:top="1440" w:right="1803" w:bottom="1440" w:left="1803" w:header="851" w:footer="992" w:gutter="0"/>
          <w:paperSrc/>
          <w:cols w:space="0" w:num="1"/>
          <w:rtlGutter w:val="0"/>
          <w:docGrid w:type="lines" w:linePitch="332" w:charSpace="0"/>
        </w:sectPr>
      </w:pPr>
    </w:p>
    <w:p>
      <w:pPr>
        <w:pStyle w:val="3"/>
        <w:shd w:val="clear" w:color="auto" w:fil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附件：项目报价清单</w:t>
      </w:r>
    </w:p>
    <w:p>
      <w:pPr>
        <w:jc w:val="center"/>
        <w:rPr>
          <w:rFonts w:hint="default" w:ascii="仿宋" w:hAnsi="仿宋" w:eastAsia="仿宋" w:cs="仿宋"/>
          <w:bCs/>
          <w:color w:val="auto"/>
          <w:spacing w:val="0"/>
          <w:w w:val="100"/>
          <w:position w:val="0"/>
          <w:sz w:val="32"/>
          <w:szCs w:val="32"/>
          <w:u w:val="none"/>
          <w:shd w:val="clear" w:color="auto" w:fill="auto"/>
          <w:lang w:val="en-US" w:eastAsia="zh-CN" w:bidi="en-US"/>
        </w:rPr>
      </w:pPr>
      <w:r>
        <w:rPr>
          <w:rFonts w:hint="eastAsia" w:ascii="仿宋" w:hAnsi="仿宋" w:eastAsia="仿宋" w:cs="仿宋"/>
          <w:bCs/>
          <w:color w:val="auto"/>
          <w:spacing w:val="0"/>
          <w:w w:val="100"/>
          <w:position w:val="0"/>
          <w:sz w:val="32"/>
          <w:szCs w:val="32"/>
          <w:u w:val="none"/>
          <w:shd w:val="clear" w:color="auto" w:fill="auto"/>
          <w:lang w:val="en-US" w:eastAsia="zh-CN" w:bidi="en-US"/>
        </w:rPr>
        <w:t>大堰服务区旅游接待中心物资采购项目报价单</w:t>
      </w:r>
    </w:p>
    <w:tbl>
      <w:tblPr>
        <w:tblStyle w:val="5"/>
        <w:tblW w:w="1042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4"/>
        <w:gridCol w:w="1545"/>
        <w:gridCol w:w="840"/>
        <w:gridCol w:w="2146"/>
        <w:gridCol w:w="1370"/>
        <w:gridCol w:w="719"/>
        <w:gridCol w:w="845"/>
        <w:gridCol w:w="671"/>
        <w:gridCol w:w="908"/>
        <w:gridCol w:w="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序号</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名称</w:t>
            </w: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品牌</w:t>
            </w: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规格型号</w:t>
            </w: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材质</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单位</w:t>
            </w: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单价（元）</w:t>
            </w: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数量</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合计（元）</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spacing w:val="0"/>
                <w:w w:val="100"/>
                <w:kern w:val="0"/>
                <w:position w:val="0"/>
                <w:sz w:val="22"/>
                <w:szCs w:val="22"/>
                <w:u w:val="none"/>
                <w:shd w:val="clear" w:color="auto" w:fill="auto"/>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4</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5</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6</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7</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8</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9</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10</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11</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12</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6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13</w:t>
            </w:r>
          </w:p>
        </w:tc>
        <w:tc>
          <w:tcPr>
            <w:tcW w:w="15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137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left="0" w:leftChars="0" w:right="0" w:rightChars="0" w:firstLine="0" w:firstLineChars="0"/>
              <w:jc w:val="center"/>
              <w:rPr>
                <w:rFonts w:hint="eastAsia" w:ascii="宋体" w:hAnsi="宋体" w:eastAsia="宋体" w:cs="宋体"/>
                <w:i w:val="0"/>
                <w:iCs w:val="0"/>
                <w:color w:val="000000"/>
                <w:sz w:val="22"/>
                <w:szCs w:val="22"/>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z w:val="22"/>
                <w:szCs w:val="22"/>
                <w:u w:val="none"/>
              </w:rPr>
            </w:pP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8780"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right="0" w:rightChars="0" w:firstLine="0" w:firstLineChars="0"/>
              <w:jc w:val="center"/>
              <w:textAlignment w:val="cente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b/>
                <w:bCs/>
                <w:i w:val="0"/>
                <w:iCs w:val="0"/>
                <w:color w:val="000000"/>
                <w:spacing w:val="0"/>
                <w:w w:val="100"/>
                <w:kern w:val="0"/>
                <w:position w:val="0"/>
                <w:sz w:val="28"/>
                <w:szCs w:val="28"/>
                <w:u w:val="none"/>
                <w:shd w:val="clear" w:color="auto" w:fill="auto"/>
                <w:lang w:val="en-US" w:eastAsia="zh-CN" w:bidi="ar"/>
              </w:rPr>
              <w:t>总计：</w:t>
            </w:r>
          </w:p>
        </w:tc>
        <w:tc>
          <w:tcPr>
            <w:tcW w:w="90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宋体" w:hAnsi="宋体" w:eastAsia="宋体" w:cs="宋体"/>
                <w:i w:val="0"/>
                <w:iCs w:val="0"/>
                <w:color w:val="000000"/>
                <w:spacing w:val="0"/>
                <w:w w:val="100"/>
                <w:kern w:val="0"/>
                <w:position w:val="0"/>
                <w:sz w:val="22"/>
                <w:szCs w:val="22"/>
                <w:u w:val="none"/>
                <w:shd w:val="clear" w:color="auto" w:fill="auto"/>
                <w:lang w:val="en-US" w:eastAsia="zh-CN" w:bidi="ar"/>
              </w:rPr>
            </w:pPr>
            <w:r>
              <w:rPr>
                <w:rFonts w:hint="eastAsia" w:ascii="宋体" w:hAnsi="宋体" w:eastAsia="宋体" w:cs="宋体"/>
                <w:i w:val="0"/>
                <w:iCs w:val="0"/>
                <w:color w:val="000000"/>
                <w:spacing w:val="0"/>
                <w:w w:val="100"/>
                <w:kern w:val="0"/>
                <w:position w:val="0"/>
                <w:sz w:val="22"/>
                <w:szCs w:val="22"/>
                <w:u w:val="none"/>
                <w:shd w:val="clear" w:color="auto" w:fill="auto"/>
                <w:lang w:val="en-US" w:eastAsia="zh-CN" w:bidi="ar"/>
              </w:rPr>
              <w:t>0</w:t>
            </w:r>
          </w:p>
        </w:tc>
        <w:tc>
          <w:tcPr>
            <w:tcW w:w="7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bl>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附件3：技术响应表</w:t>
      </w:r>
    </w:p>
    <w:p>
      <w:pPr>
        <w:pStyle w:val="2"/>
        <w:jc w:val="center"/>
        <w:rPr>
          <w:sz w:val="28"/>
          <w:szCs w:val="28"/>
        </w:rPr>
      </w:pPr>
      <w:r>
        <w:rPr>
          <w:rFonts w:hint="eastAsia"/>
          <w:sz w:val="28"/>
          <w:szCs w:val="28"/>
        </w:rPr>
        <w:t>技术响应表</w:t>
      </w:r>
    </w:p>
    <w:tbl>
      <w:tblPr>
        <w:tblStyle w:val="5"/>
        <w:tblW w:w="9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6"/>
        <w:gridCol w:w="1482"/>
        <w:gridCol w:w="1260"/>
        <w:gridCol w:w="1560"/>
        <w:gridCol w:w="2160"/>
        <w:gridCol w:w="885"/>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序号</w:t>
            </w:r>
          </w:p>
        </w:tc>
        <w:tc>
          <w:tcPr>
            <w:tcW w:w="148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产品名称</w:t>
            </w:r>
          </w:p>
        </w:tc>
        <w:tc>
          <w:tcPr>
            <w:tcW w:w="12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询价文件</w:t>
            </w:r>
          </w:p>
          <w:p>
            <w:pPr>
              <w:spacing w:line="400" w:lineRule="exact"/>
              <w:jc w:val="center"/>
              <w:rPr>
                <w:rFonts w:ascii="宋体" w:hAnsi="宋体"/>
                <w:color w:val="000000"/>
                <w:sz w:val="24"/>
              </w:rPr>
            </w:pPr>
            <w:r>
              <w:rPr>
                <w:rFonts w:hint="eastAsia" w:ascii="宋体" w:hAnsi="宋体"/>
                <w:color w:val="000000"/>
                <w:sz w:val="24"/>
              </w:rPr>
              <w:t>要求</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报价产品品牌、型号</w:t>
            </w:r>
          </w:p>
        </w:tc>
        <w:tc>
          <w:tcPr>
            <w:tcW w:w="21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报价产品配置</w:t>
            </w:r>
          </w:p>
          <w:p>
            <w:pPr>
              <w:spacing w:line="400" w:lineRule="exact"/>
              <w:jc w:val="center"/>
              <w:rPr>
                <w:rFonts w:ascii="宋体" w:hAnsi="宋体"/>
                <w:color w:val="000000"/>
                <w:sz w:val="24"/>
              </w:rPr>
            </w:pPr>
            <w:r>
              <w:rPr>
                <w:rFonts w:hint="eastAsia" w:ascii="宋体" w:hAnsi="宋体"/>
                <w:color w:val="000000"/>
                <w:sz w:val="24"/>
              </w:rPr>
              <w:t>和技术指标、参数</w:t>
            </w:r>
          </w:p>
        </w:tc>
        <w:tc>
          <w:tcPr>
            <w:tcW w:w="88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正/负</w:t>
            </w:r>
          </w:p>
          <w:p>
            <w:pPr>
              <w:spacing w:line="400" w:lineRule="exact"/>
              <w:ind w:firstLine="128" w:firstLineChars="50"/>
              <w:rPr>
                <w:rFonts w:ascii="宋体" w:hAnsi="宋体"/>
                <w:color w:val="000000"/>
                <w:sz w:val="24"/>
              </w:rPr>
            </w:pPr>
            <w:r>
              <w:rPr>
                <w:rFonts w:hint="eastAsia" w:ascii="宋体" w:hAnsi="宋体"/>
                <w:bCs/>
                <w:color w:val="000000"/>
                <w:spacing w:val="8"/>
                <w:sz w:val="24"/>
              </w:rPr>
              <w:t>偏离</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ind w:firstLine="240" w:firstLineChars="100"/>
              <w:rPr>
                <w:rFonts w:ascii="宋体" w:hAnsi="宋体"/>
                <w:color w:val="000000"/>
                <w:sz w:val="24"/>
              </w:rPr>
            </w:pPr>
            <w:r>
              <w:rPr>
                <w:rFonts w:hint="eastAsia" w:ascii="宋体" w:hAnsi="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6"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482"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5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2160"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88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c>
          <w:tcPr>
            <w:tcW w:w="127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宋体" w:hAnsi="宋体"/>
                <w:color w:val="000000"/>
                <w:szCs w:val="21"/>
              </w:rPr>
            </w:pPr>
          </w:p>
        </w:tc>
      </w:tr>
    </w:tbl>
    <w:p>
      <w:pPr>
        <w:adjustRightInd w:val="0"/>
        <w:spacing w:line="480" w:lineRule="exact"/>
        <w:rPr>
          <w:rFonts w:ascii="宋体" w:hAnsi="宋体"/>
          <w:bCs/>
          <w:color w:val="000000"/>
          <w:spacing w:val="8"/>
          <w:sz w:val="24"/>
        </w:rPr>
      </w:pPr>
      <w:r>
        <w:rPr>
          <w:rFonts w:hint="eastAsia" w:ascii="宋体" w:hAnsi="宋体"/>
          <w:bCs/>
          <w:color w:val="000000"/>
          <w:spacing w:val="8"/>
          <w:sz w:val="24"/>
        </w:rPr>
        <w:t>注：1、供应商按照询价文件要求做出的技术应答，主要是针对采购项目的技术指标、参数和技术要求做出的实质性响应和满足。</w:t>
      </w: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2、供应商必须顺序逐项对照填写，注明正、负或无偏离</w:t>
      </w:r>
    </w:p>
    <w:p>
      <w:pPr>
        <w:adjustRightInd w:val="0"/>
        <w:spacing w:line="480" w:lineRule="exact"/>
        <w:ind w:firstLine="512" w:firstLineChars="200"/>
        <w:rPr>
          <w:rFonts w:ascii="宋体" w:hAnsi="宋体"/>
          <w:bCs/>
          <w:color w:val="000000"/>
          <w:spacing w:val="8"/>
          <w:sz w:val="24"/>
        </w:rPr>
      </w:pPr>
      <w:r>
        <w:rPr>
          <w:rFonts w:ascii="宋体" w:hAnsi="宋体"/>
          <w:bCs/>
          <w:color w:val="000000"/>
          <w:spacing w:val="8"/>
          <w:sz w:val="24"/>
        </w:rPr>
        <w:t>3</w:t>
      </w:r>
      <w:r>
        <w:rPr>
          <w:rFonts w:hint="eastAsia" w:ascii="宋体" w:hAnsi="宋体"/>
          <w:bCs/>
          <w:color w:val="000000"/>
          <w:spacing w:val="8"/>
          <w:sz w:val="24"/>
        </w:rPr>
        <w:t>、供应商必须据实填写，不得虚假响应，否则将取消其投标或中标资格，并按有关规定进行处罚。</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供应商名称：      （盖章）</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法定代表人或授权代表（签字或盖章）：</w:t>
      </w:r>
    </w:p>
    <w:p>
      <w:pPr>
        <w:spacing w:line="360" w:lineRule="exact"/>
        <w:ind w:firstLine="480" w:firstLineChars="200"/>
        <w:rPr>
          <w:rFonts w:ascii="宋体" w:hAnsi="宋体"/>
          <w:color w:val="000000"/>
          <w:szCs w:val="21"/>
        </w:rPr>
      </w:pPr>
    </w:p>
    <w:p>
      <w:pPr>
        <w:spacing w:line="360" w:lineRule="exact"/>
        <w:ind w:firstLine="480" w:firstLineChars="200"/>
        <w:rPr>
          <w:rFonts w:ascii="宋体" w:hAnsi="宋体"/>
          <w:color w:val="000000"/>
          <w:szCs w:val="21"/>
        </w:rPr>
      </w:pPr>
      <w:r>
        <w:rPr>
          <w:rFonts w:hint="eastAsia" w:ascii="宋体" w:hAnsi="宋体"/>
          <w:color w:val="000000"/>
          <w:szCs w:val="21"/>
        </w:rPr>
        <w:t>日期：      年      月     日</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附件4：商务应答表</w:t>
      </w:r>
    </w:p>
    <w:p>
      <w:pPr>
        <w:keepNext/>
        <w:keepLines/>
        <w:spacing w:before="260" w:after="260" w:line="400" w:lineRule="exact"/>
        <w:jc w:val="center"/>
        <w:outlineLvl w:val="1"/>
        <w:rPr>
          <w:rFonts w:ascii="Arial" w:hAnsi="Arial" w:eastAsia="黑体"/>
          <w:b/>
          <w:color w:val="000000"/>
          <w:kern w:val="0"/>
          <w:sz w:val="28"/>
          <w:szCs w:val="20"/>
        </w:rPr>
      </w:pPr>
      <w:r>
        <w:rPr>
          <w:rFonts w:hint="eastAsia" w:ascii="Arial" w:hAnsi="Arial" w:eastAsia="黑体"/>
          <w:b/>
          <w:color w:val="000000"/>
          <w:kern w:val="0"/>
          <w:sz w:val="28"/>
          <w:szCs w:val="20"/>
        </w:rPr>
        <w:t>商务应答表</w:t>
      </w:r>
    </w:p>
    <w:tbl>
      <w:tblPr>
        <w:tblStyle w:val="5"/>
        <w:tblW w:w="88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0"/>
        <w:gridCol w:w="3480"/>
        <w:gridCol w:w="1800"/>
        <w:gridCol w:w="162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序号</w:t>
            </w:r>
          </w:p>
        </w:tc>
        <w:tc>
          <w:tcPr>
            <w:tcW w:w="34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内容</w:t>
            </w:r>
          </w:p>
        </w:tc>
        <w:tc>
          <w:tcPr>
            <w:tcW w:w="18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采购要求</w:t>
            </w:r>
          </w:p>
        </w:tc>
        <w:tc>
          <w:tcPr>
            <w:tcW w:w="16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投标应答</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r>
              <w:rPr>
                <w:rFonts w:hint="eastAsia" w:ascii="宋体" w:hAnsi="宋体"/>
                <w:color w:val="000000"/>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1</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交货时间/工期要求</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2</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交货地点</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3</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履约、验收要求与标准</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pPr>
            <w:r>
              <w:rPr>
                <w:rFonts w:hint="eastAsia"/>
              </w:rPr>
              <w:t>4</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款项支付方式、进度</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lang w:eastAsia="zh-CN"/>
              </w:rPr>
            </w:pPr>
            <w:r>
              <w:rPr>
                <w:rFonts w:hint="eastAsia" w:eastAsia="宋体"/>
                <w:lang w:val="en-US" w:eastAsia="zh-CN"/>
              </w:rPr>
              <w:t>5</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 xml:space="preserve">质保及售后服务要求 </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840"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eastAsia="宋体"/>
                <w:lang w:eastAsia="zh-CN"/>
              </w:rPr>
            </w:pPr>
            <w:r>
              <w:rPr>
                <w:rFonts w:hint="eastAsia" w:eastAsia="宋体"/>
                <w:lang w:val="en-US" w:eastAsia="zh-CN"/>
              </w:rPr>
              <w:t>6</w:t>
            </w:r>
          </w:p>
        </w:tc>
        <w:tc>
          <w:tcPr>
            <w:tcW w:w="3480" w:type="dxa"/>
            <w:tcBorders>
              <w:top w:val="single" w:color="auto" w:sz="4" w:space="0"/>
              <w:left w:val="single" w:color="auto" w:sz="4" w:space="0"/>
              <w:bottom w:val="single" w:color="auto" w:sz="4" w:space="0"/>
              <w:right w:val="single" w:color="auto" w:sz="4" w:space="0"/>
            </w:tcBorders>
            <w:noWrap w:val="0"/>
            <w:vAlign w:val="center"/>
          </w:tcPr>
          <w:p>
            <w:r>
              <w:rPr>
                <w:rFonts w:hint="eastAsia"/>
              </w:rPr>
              <w:t>其他</w:t>
            </w:r>
          </w:p>
        </w:tc>
        <w:tc>
          <w:tcPr>
            <w:tcW w:w="1800" w:type="dxa"/>
            <w:tcBorders>
              <w:top w:val="single" w:color="auto" w:sz="4" w:space="0"/>
              <w:left w:val="single" w:color="auto" w:sz="4" w:space="0"/>
              <w:bottom w:val="single" w:color="auto" w:sz="4" w:space="0"/>
              <w:right w:val="single" w:color="auto" w:sz="4" w:space="0"/>
            </w:tcBorders>
            <w:noWrap w:val="0"/>
            <w:vAlign w:val="center"/>
          </w:tcPr>
          <w:p/>
        </w:tc>
        <w:tc>
          <w:tcPr>
            <w:tcW w:w="1620" w:type="dxa"/>
            <w:tcBorders>
              <w:top w:val="single" w:color="auto" w:sz="4" w:space="0"/>
              <w:left w:val="single" w:color="auto" w:sz="4" w:space="0"/>
              <w:bottom w:val="single" w:color="auto" w:sz="4" w:space="0"/>
              <w:right w:val="single" w:color="auto" w:sz="4" w:space="0"/>
            </w:tcBorders>
            <w:noWrap w:val="0"/>
            <w:vAlign w:val="center"/>
          </w:tcPr>
          <w:p/>
        </w:tc>
        <w:tc>
          <w:tcPr>
            <w:tcW w:w="1080" w:type="dxa"/>
            <w:tcBorders>
              <w:top w:val="single" w:color="auto" w:sz="4" w:space="0"/>
              <w:left w:val="single" w:color="auto" w:sz="4" w:space="0"/>
              <w:bottom w:val="single" w:color="auto" w:sz="4" w:space="0"/>
              <w:right w:val="single" w:color="auto" w:sz="4" w:space="0"/>
            </w:tcBorders>
            <w:noWrap w:val="0"/>
            <w:vAlign w:val="center"/>
          </w:tcPr>
          <w:p/>
        </w:tc>
      </w:tr>
    </w:tbl>
    <w:p>
      <w:pPr>
        <w:spacing w:line="480" w:lineRule="exact"/>
        <w:ind w:left="617" w:leftChars="57" w:hanging="480" w:hangingChars="200"/>
        <w:rPr>
          <w:rFonts w:ascii="宋体" w:hAnsi="宋体"/>
          <w:color w:val="000000"/>
          <w:sz w:val="24"/>
        </w:rPr>
      </w:pPr>
      <w:r>
        <w:rPr>
          <w:rFonts w:hint="eastAsia" w:ascii="宋体" w:hAnsi="宋体"/>
          <w:color w:val="000000"/>
          <w:sz w:val="24"/>
        </w:rPr>
        <w:t>注：1、供应商必须据实填写，不得虚假响应，否则将取消其投标或中标资格，并按有关规定进行处罚。</w:t>
      </w:r>
    </w:p>
    <w:p>
      <w:pPr>
        <w:adjustRightInd w:val="0"/>
        <w:spacing w:line="480" w:lineRule="exact"/>
        <w:rPr>
          <w:rFonts w:ascii="宋体" w:hAnsi="宋体"/>
          <w:color w:val="000000"/>
          <w:sz w:val="24"/>
        </w:rPr>
      </w:pPr>
      <w:r>
        <w:rPr>
          <w:rFonts w:hint="eastAsia" w:ascii="宋体" w:hAnsi="宋体"/>
          <w:color w:val="000000"/>
          <w:sz w:val="24"/>
        </w:rPr>
        <w:t xml:space="preserve">  </w:t>
      </w:r>
    </w:p>
    <w:p>
      <w:pPr>
        <w:adjustRightInd w:val="0"/>
        <w:spacing w:line="480" w:lineRule="exact"/>
        <w:rPr>
          <w:rFonts w:ascii="宋体" w:hAnsi="宋体"/>
          <w:bCs/>
          <w:color w:val="000000"/>
          <w:spacing w:val="8"/>
          <w:sz w:val="24"/>
        </w:rPr>
      </w:pPr>
    </w:p>
    <w:p>
      <w:pPr>
        <w:adjustRightInd w:val="0"/>
        <w:spacing w:line="480" w:lineRule="exact"/>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投标人名称：       （盖章）</w:t>
      </w:r>
    </w:p>
    <w:p>
      <w:pPr>
        <w:adjustRightInd w:val="0"/>
        <w:spacing w:line="480" w:lineRule="exact"/>
        <w:ind w:firstLine="512" w:firstLineChars="200"/>
        <w:rPr>
          <w:rFonts w:ascii="宋体" w:hAnsi="宋体"/>
          <w:bCs/>
          <w:color w:val="000000"/>
          <w:spacing w:val="8"/>
          <w:sz w:val="24"/>
        </w:rPr>
      </w:pPr>
      <w:r>
        <w:rPr>
          <w:rFonts w:hint="eastAsia" w:ascii="宋体" w:hAnsi="宋体"/>
          <w:bCs/>
          <w:color w:val="000000"/>
          <w:spacing w:val="8"/>
          <w:sz w:val="24"/>
        </w:rPr>
        <w:t>法定代表人或授权代表（签字或盖章）：</w:t>
      </w:r>
    </w:p>
    <w:p>
      <w:pPr>
        <w:spacing w:line="480" w:lineRule="exact"/>
        <w:ind w:firstLine="480" w:firstLineChars="200"/>
        <w:rPr>
          <w:rFonts w:ascii="宋体" w:hAnsi="宋体"/>
          <w:color w:val="000000"/>
          <w:sz w:val="24"/>
        </w:rPr>
      </w:pPr>
      <w:r>
        <w:rPr>
          <w:rFonts w:hint="eastAsia" w:ascii="宋体" w:hAnsi="宋体"/>
          <w:color w:val="000000"/>
          <w:sz w:val="24"/>
        </w:rPr>
        <w:t>日期：      年      月     日</w:t>
      </w: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default" w:ascii="仿宋" w:hAnsi="仿宋" w:eastAsia="仿宋" w:cs="仿宋"/>
          <w:sz w:val="32"/>
          <w:szCs w:val="32"/>
          <w:u w:val="none"/>
          <w:lang w:val="en-US" w:eastAsia="zh-CN"/>
        </w:rPr>
      </w:pPr>
    </w:p>
    <w:p>
      <w:pPr>
        <w:keepNext w:val="0"/>
        <w:keepLines w:val="0"/>
        <w:pageBreakBefore w:val="0"/>
        <w:kinsoku/>
        <w:wordWrap/>
        <w:overflowPunct/>
        <w:topLinePunct w:val="0"/>
        <w:autoSpaceDE/>
        <w:autoSpaceDN/>
        <w:bidi w:val="0"/>
        <w:adjustRightInd/>
        <w:snapToGrid/>
        <w:spacing w:line="574" w:lineRule="exact"/>
        <w:jc w:val="left"/>
        <w:textAlignment w:val="auto"/>
        <w:rPr>
          <w:rFonts w:hint="eastAsia" w:ascii="方正小标宋简体" w:hAnsi="方正小标宋简体" w:eastAsia="方正小标宋简体" w:cs="方正小标宋简体"/>
          <w:b w:val="0"/>
          <w:bCs w:val="0"/>
          <w:sz w:val="44"/>
          <w:szCs w:val="44"/>
        </w:rPr>
      </w:pPr>
      <w:r>
        <w:rPr>
          <w:rFonts w:hint="eastAsia" w:ascii="仿宋" w:hAnsi="仿宋" w:eastAsia="仿宋" w:cs="仿宋"/>
          <w:sz w:val="32"/>
          <w:szCs w:val="32"/>
          <w:u w:val="none"/>
          <w:lang w:val="en-US" w:eastAsia="zh-CN"/>
        </w:rPr>
        <w:t>附件5：合同主要条款</w:t>
      </w:r>
    </w:p>
    <w:p>
      <w:pPr>
        <w:keepNext w:val="0"/>
        <w:keepLines w:val="0"/>
        <w:pageBreakBefore w:val="0"/>
        <w:widowControl w:val="0"/>
        <w:kinsoku/>
        <w:wordWrap/>
        <w:overflowPunct/>
        <w:topLinePunct w:val="0"/>
        <w:autoSpaceDE/>
        <w:autoSpaceDN/>
        <w:bidi w:val="0"/>
        <w:adjustRightInd/>
        <w:snapToGrid/>
        <w:spacing w:line="574"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大堰服务区旅游接待中心物资采购</w:t>
      </w:r>
      <w:r>
        <w:rPr>
          <w:rFonts w:hint="eastAsia" w:ascii="方正小标宋简体" w:hAnsi="方正小标宋简体" w:eastAsia="方正小标宋简体" w:cs="方正小标宋简体"/>
          <w:b w:val="0"/>
          <w:bCs w:val="0"/>
          <w:sz w:val="44"/>
          <w:szCs w:val="44"/>
        </w:rPr>
        <w:t>合同</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甲方（采购方）:</w:t>
      </w:r>
    </w:p>
    <w:p>
      <w:pPr>
        <w:keepNext w:val="0"/>
        <w:keepLines w:val="0"/>
        <w:pageBreakBefore w:val="0"/>
        <w:widowControl/>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乙方（供货方）: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统一社会信用代码：</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联系人：</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联系方式：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依据《中华人民共和国民法典》及相关法律、法规，遵照平等、自愿、公平和诚实信用原则，经甲、乙双方友好协商，订立合同如下：</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基本情况</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本合同单价为固定单价，已包含</w:t>
      </w:r>
      <w:r>
        <w:rPr>
          <w:rFonts w:hint="eastAsia" w:ascii="仿宋" w:hAnsi="仿宋" w:eastAsia="仿宋" w:cs="仿宋"/>
          <w:b w:val="0"/>
          <w:bCs w:val="0"/>
          <w:color w:val="auto"/>
          <w:spacing w:val="0"/>
          <w:w w:val="100"/>
          <w:position w:val="0"/>
          <w:sz w:val="32"/>
          <w:szCs w:val="32"/>
          <w:u w:val="none" w:color="auto"/>
          <w:shd w:val="clear" w:color="auto" w:fill="auto"/>
          <w:lang w:val="en-US" w:eastAsia="zh-CN" w:bidi="en-US"/>
        </w:rPr>
        <w:t>人工费、材料费、运输费、装卸费、税金、调试费、安装费</w:t>
      </w:r>
      <w:r>
        <w:rPr>
          <w:rFonts w:hint="eastAsia" w:ascii="仿宋_GB2312" w:hAnsi="仿宋_GB2312" w:eastAsia="仿宋_GB2312" w:cs="仿宋_GB2312"/>
          <w:sz w:val="32"/>
          <w:szCs w:val="32"/>
        </w:rPr>
        <w:t>等所有费用</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数量如有变动，由</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方提前通知</w:t>
      </w: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乙方</w:t>
      </w:r>
      <w:r>
        <w:rPr>
          <w:rFonts w:hint="eastAsia" w:ascii="仿宋_GB2312" w:hAnsi="仿宋_GB2312" w:eastAsia="仿宋_GB2312" w:cs="仿宋_GB2312"/>
          <w:sz w:val="32"/>
          <w:szCs w:val="32"/>
        </w:rPr>
        <w:t>在维持本合同单价不变的基础上，按</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val="en-US" w:eastAsia="zh-CN"/>
        </w:rPr>
        <w:t>要</w:t>
      </w:r>
      <w:r>
        <w:rPr>
          <w:rFonts w:hint="eastAsia" w:ascii="仿宋_GB2312" w:hAnsi="仿宋_GB2312" w:eastAsia="仿宋_GB2312" w:cs="仿宋_GB2312"/>
          <w:sz w:val="32"/>
          <w:szCs w:val="32"/>
        </w:rPr>
        <w:t>求将增加的货物运送至指定地点，最终数量以</w:t>
      </w:r>
      <w:r>
        <w:rPr>
          <w:rFonts w:hint="eastAsia" w:ascii="仿宋_GB2312" w:hAnsi="仿宋_GB2312" w:eastAsia="仿宋_GB2312" w:cs="仿宋_GB2312"/>
          <w:sz w:val="32"/>
          <w:szCs w:val="32"/>
          <w:lang w:val="en-US" w:eastAsia="zh-CN"/>
        </w:rPr>
        <w:t>甲</w:t>
      </w:r>
      <w:r>
        <w:rPr>
          <w:rFonts w:hint="eastAsia" w:ascii="仿宋_GB2312" w:hAnsi="仿宋_GB2312" w:eastAsia="仿宋_GB2312" w:cs="仿宋_GB2312"/>
          <w:sz w:val="32"/>
          <w:szCs w:val="32"/>
        </w:rPr>
        <w:t>方验收并签字确认的产品</w:t>
      </w:r>
      <w:r>
        <w:rPr>
          <w:rFonts w:hint="eastAsia" w:ascii="仿宋_GB2312" w:hAnsi="仿宋_GB2312" w:eastAsia="仿宋_GB2312" w:cs="仿宋_GB2312"/>
          <w:sz w:val="32"/>
          <w:szCs w:val="32"/>
          <w:lang w:val="en-US" w:eastAsia="zh-CN"/>
        </w:rPr>
        <w:t>订货</w:t>
      </w:r>
      <w:r>
        <w:rPr>
          <w:rFonts w:hint="eastAsia" w:ascii="仿宋_GB2312" w:hAnsi="仿宋_GB2312" w:eastAsia="仿宋_GB2312" w:cs="仿宋_GB2312"/>
          <w:sz w:val="32"/>
          <w:szCs w:val="32"/>
        </w:rPr>
        <w:t>单上所列数量</w:t>
      </w:r>
      <w:r>
        <w:rPr>
          <w:rFonts w:hint="eastAsia" w:ascii="仿宋_GB2312" w:hAnsi="仿宋_GB2312" w:eastAsia="仿宋_GB2312" w:cs="仿宋_GB2312"/>
          <w:sz w:val="32"/>
          <w:szCs w:val="32"/>
          <w:lang w:val="en-US" w:eastAsia="zh-CN"/>
        </w:rPr>
        <w:t>和金额</w:t>
      </w:r>
      <w:r>
        <w:rPr>
          <w:rFonts w:hint="eastAsia" w:ascii="仿宋_GB2312" w:hAnsi="仿宋_GB2312" w:eastAsia="仿宋_GB2312" w:cs="仿宋_GB2312"/>
          <w:sz w:val="32"/>
          <w:szCs w:val="32"/>
        </w:rPr>
        <w:t>为准。</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二、采购明细详见附件</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三、合同总额及</w:t>
      </w:r>
      <w:r>
        <w:rPr>
          <w:rFonts w:hint="eastAsia" w:ascii="仿宋_GB2312" w:hAnsi="仿宋_GB2312" w:eastAsia="仿宋_GB2312" w:cs="仿宋_GB2312"/>
          <w:sz w:val="32"/>
          <w:szCs w:val="32"/>
          <w:highlight w:val="none"/>
        </w:rPr>
        <w:t>付款方式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1、合同总额为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元，大写：</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元整。</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2、支付方式：</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lang w:val="en-US" w:eastAsia="zh-CN"/>
        </w:rPr>
        <w:t>（1）本合同签订生效后5个工作日内，甲方向乙方支付合同总额的40%，即¥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（2）</w:t>
      </w:r>
      <w:r>
        <w:rPr>
          <w:rFonts w:hint="eastAsia" w:ascii="仿宋_GB2312" w:hAnsi="仿宋_GB2312" w:eastAsia="仿宋_GB2312" w:cs="仿宋_GB2312"/>
          <w:sz w:val="32"/>
          <w:szCs w:val="32"/>
          <w:highlight w:val="none"/>
          <w:lang w:val="en-US" w:eastAsia="zh-CN"/>
        </w:rPr>
        <w:t>甲方在收到在乙方订购的全部物资且安装后验收合格并交付使用后，15个工作日内向乙方支付合同总额的57%，即¥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w:t>
      </w:r>
    </w:p>
    <w:p>
      <w:pPr>
        <w:pStyle w:val="3"/>
        <w:ind w:firstLine="640" w:firstLineChars="200"/>
        <w:rPr>
          <w:rFonts w:hint="default"/>
          <w:lang w:val="en-US" w:eastAsia="zh-CN"/>
        </w:rPr>
      </w:pPr>
      <w:r>
        <w:rPr>
          <w:rFonts w:hint="eastAsia" w:ascii="仿宋_GB2312" w:hAnsi="仿宋_GB2312" w:eastAsia="仿宋_GB2312" w:cs="仿宋_GB2312"/>
          <w:sz w:val="32"/>
          <w:szCs w:val="32"/>
          <w:highlight w:val="none"/>
          <w:u w:val="none"/>
          <w:lang w:val="en-US" w:eastAsia="zh-CN"/>
        </w:rPr>
        <w:t>（3）剩余合同总额的3%作为质保金，</w:t>
      </w:r>
      <w:r>
        <w:rPr>
          <w:rFonts w:hint="eastAsia" w:ascii="仿宋_GB2312" w:hAnsi="仿宋_GB2312" w:eastAsia="仿宋_GB2312" w:cs="仿宋_GB2312"/>
          <w:sz w:val="32"/>
          <w:szCs w:val="32"/>
          <w:highlight w:val="none"/>
          <w:lang w:val="en-US" w:eastAsia="zh-CN"/>
        </w:rPr>
        <w:t>即¥</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元（大写：        ），待质保期12个月到期后，15个工作日内向乙方支付。</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2、乙方账户信息：</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公司名称：</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开 户 行：</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账    号：</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四、交货时间</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交货时间不迟于</w:t>
      </w:r>
      <w:r>
        <w:rPr>
          <w:rFonts w:hint="eastAsia" w:ascii="仿宋_GB2312" w:hAnsi="仿宋_GB2312" w:eastAsia="仿宋_GB2312" w:cs="仿宋_GB2312"/>
          <w:sz w:val="32"/>
          <w:szCs w:val="32"/>
          <w:u w:val="single"/>
          <w:lang w:val="en-US" w:eastAsia="zh-CN"/>
        </w:rPr>
        <w:t>2023</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rPr>
        <w:t>日。</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五、交货地点：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甲方指定</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江油大堰服务区）</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六、双方权益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1、甲方权益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甲方有权要求货品质量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甲方有</w:t>
      </w:r>
      <w:r>
        <w:rPr>
          <w:rFonts w:hint="eastAsia" w:ascii="仿宋_GB2312" w:hAnsi="仿宋_GB2312" w:eastAsia="仿宋_GB2312" w:cs="仿宋_GB2312"/>
          <w:sz w:val="32"/>
          <w:szCs w:val="32"/>
          <w:lang w:val="en-US" w:eastAsia="zh-CN"/>
        </w:rPr>
        <w:t>权</w:t>
      </w:r>
      <w:r>
        <w:rPr>
          <w:rFonts w:hint="eastAsia" w:ascii="仿宋_GB2312" w:hAnsi="仿宋_GB2312" w:eastAsia="仿宋_GB2312" w:cs="仿宋_GB2312"/>
          <w:sz w:val="32"/>
          <w:szCs w:val="32"/>
        </w:rPr>
        <w:t>确定签收货品的人员并提前通知乙方。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甲方有义务</w:t>
      </w:r>
      <w:r>
        <w:rPr>
          <w:rFonts w:hint="eastAsia" w:ascii="仿宋_GB2312" w:hAnsi="仿宋_GB2312" w:eastAsia="仿宋_GB2312" w:cs="仿宋_GB2312"/>
          <w:sz w:val="32"/>
          <w:szCs w:val="32"/>
          <w:lang w:val="en-US" w:eastAsia="zh-CN"/>
        </w:rPr>
        <w:t>按约定支付货款</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2、乙方权益</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乙方有义务保证货品质量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包含货品本身质量、安装质量等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及维修服务质量</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质量应符合国家或行业标准</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乙方有义务</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送货至甲方指定地点。</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乙方有权利要求甲方</w:t>
      </w:r>
      <w:r>
        <w:rPr>
          <w:rFonts w:hint="eastAsia" w:ascii="仿宋_GB2312" w:hAnsi="仿宋_GB2312" w:eastAsia="仿宋_GB2312" w:cs="仿宋_GB2312"/>
          <w:sz w:val="32"/>
          <w:szCs w:val="32"/>
          <w:lang w:val="en-US" w:eastAsia="zh-CN"/>
        </w:rPr>
        <w:t>按约</w:t>
      </w:r>
      <w:r>
        <w:rPr>
          <w:rFonts w:hint="eastAsia" w:ascii="仿宋_GB2312" w:hAnsi="仿宋_GB2312" w:eastAsia="仿宋_GB2312" w:cs="仿宋_GB2312"/>
          <w:sz w:val="32"/>
          <w:szCs w:val="32"/>
        </w:rPr>
        <w:t>支付</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七</w:t>
      </w:r>
      <w:r>
        <w:rPr>
          <w:rFonts w:hint="eastAsia" w:ascii="仿宋_GB2312" w:hAnsi="仿宋_GB2312" w:eastAsia="仿宋_GB2312" w:cs="仿宋_GB2312"/>
          <w:sz w:val="32"/>
          <w:szCs w:val="32"/>
        </w:rPr>
        <w:t>、违约条款</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1、产品质量有缺陷，经甲方提醒后仍无法弥补视同乙方违约。</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2、乙方未能按照合同</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定的交货时间交货，视同乙方违约，每延期一天，甲方有权扣除</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万分之五</w:t>
      </w:r>
      <w:r>
        <w:rPr>
          <w:rFonts w:hint="eastAsia" w:ascii="仿宋_GB2312" w:hAnsi="仿宋_GB2312" w:eastAsia="仿宋_GB2312" w:cs="仿宋_GB2312"/>
          <w:sz w:val="32"/>
          <w:szCs w:val="32"/>
        </w:rPr>
        <w:t>作为违约金。</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、甲方在货品交付</w:t>
      </w:r>
      <w:r>
        <w:rPr>
          <w:rFonts w:hint="eastAsia" w:ascii="仿宋_GB2312" w:hAnsi="仿宋_GB2312" w:eastAsia="仿宋_GB2312" w:cs="仿宋_GB2312"/>
          <w:sz w:val="32"/>
          <w:szCs w:val="32"/>
          <w:lang w:val="en-US" w:eastAsia="zh-CN"/>
        </w:rPr>
        <w:t>30</w:t>
      </w:r>
      <w:r>
        <w:rPr>
          <w:rFonts w:hint="eastAsia" w:ascii="仿宋_GB2312" w:hAnsi="仿宋_GB2312" w:eastAsia="仿宋_GB2312" w:cs="仿宋_GB2312"/>
          <w:sz w:val="32"/>
          <w:szCs w:val="32"/>
        </w:rPr>
        <w:t>日后仍未支付</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视同甲方违约，每延期一天，乙方有权要求甲方支付违约金，即</w:t>
      </w:r>
      <w:r>
        <w:rPr>
          <w:rFonts w:hint="eastAsia" w:ascii="仿宋_GB2312" w:hAnsi="仿宋_GB2312" w:eastAsia="仿宋_GB2312" w:cs="仿宋_GB2312"/>
          <w:sz w:val="32"/>
          <w:szCs w:val="32"/>
          <w:lang w:val="en-US" w:eastAsia="zh-CN"/>
        </w:rPr>
        <w:t>未付货款</w:t>
      </w:r>
      <w:r>
        <w:rPr>
          <w:rFonts w:hint="eastAsia" w:ascii="仿宋_GB2312" w:hAnsi="仿宋_GB2312" w:eastAsia="仿宋_GB2312" w:cs="仿宋_GB2312"/>
          <w:sz w:val="32"/>
          <w:szCs w:val="32"/>
        </w:rPr>
        <w:t>的</w:t>
      </w:r>
      <w:r>
        <w:rPr>
          <w:rFonts w:hint="eastAsia" w:ascii="仿宋_GB2312" w:hAnsi="仿宋_GB2312" w:eastAsia="仿宋_GB2312" w:cs="仿宋_GB2312"/>
          <w:sz w:val="32"/>
          <w:szCs w:val="32"/>
          <w:lang w:val="en-US" w:eastAsia="zh-CN"/>
        </w:rPr>
        <w:t>万分之五</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4、如乙方货物存在质量问题，甲方有权拒付货款且不视为甲方违约，甲方不承担任何违约责任。</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如乙方货物存在质量问题，乙方应在3日内无条件更换为合格货物（更换相关全部费用由乙方承担，包括但不限于：运输费等）。如更换后仍不符合质量要求的，甲方有权退货，乙方应退还甲方全部货款并承担货款总金额15%的违约责任，退货相关全部费用（包括但不限于：运输费等）由乙方承担。</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、不可抗力条款</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可抗力是指本合同生效后，发生不能预见并且对其发生和后果不能防止或避免的事件，如地震、台风、水灾、火灾、战争等，致使直接影响本合同的履行或不能按约定的条件履行。发生不可抗力的一方应立即通知对方，并在十五天内提供不可抗力的详情及将有关证明文件送交对方。发生不可抗力事件时，甲乙双方应协商以寻找一个合理的解决方法，并尽一切努力减轻不可抗力产生的后果。如不可抗力事件持续三十天时，甲乙双方应友好协商解决本合同是否继续履行或终止的问题。</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九</w:t>
      </w:r>
      <w:r>
        <w:rPr>
          <w:rFonts w:hint="eastAsia" w:ascii="仿宋_GB2312" w:hAnsi="仿宋_GB2312" w:eastAsia="仿宋_GB2312" w:cs="仿宋_GB2312"/>
          <w:sz w:val="32"/>
          <w:szCs w:val="32"/>
        </w:rPr>
        <w:t>、合同生效与终止</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w:t>
      </w:r>
      <w:r>
        <w:rPr>
          <w:rFonts w:hint="eastAsia" w:ascii="仿宋_GB2312" w:hAnsi="仿宋_GB2312" w:eastAsia="仿宋_GB2312" w:cs="仿宋_GB2312"/>
          <w:sz w:val="32"/>
          <w:szCs w:val="32"/>
          <w:lang w:val="en-US" w:eastAsia="zh-CN"/>
        </w:rPr>
        <w:t>经</w:t>
      </w:r>
      <w:r>
        <w:rPr>
          <w:rFonts w:hint="eastAsia" w:ascii="仿宋_GB2312" w:hAnsi="仿宋_GB2312" w:eastAsia="仿宋_GB2312" w:cs="仿宋_GB2312"/>
          <w:sz w:val="32"/>
          <w:szCs w:val="32"/>
        </w:rPr>
        <w:t>双方</w:t>
      </w:r>
      <w:r>
        <w:rPr>
          <w:rFonts w:hint="eastAsia" w:ascii="仿宋_GB2312" w:hAnsi="仿宋_GB2312" w:eastAsia="仿宋_GB2312" w:cs="仿宋_GB2312"/>
          <w:sz w:val="32"/>
          <w:szCs w:val="32"/>
          <w:lang w:val="en-US" w:eastAsia="zh-CN"/>
        </w:rPr>
        <w:t>签字或盖章后生效</w:t>
      </w:r>
      <w:r>
        <w:rPr>
          <w:rFonts w:hint="eastAsia" w:ascii="仿宋_GB2312" w:hAnsi="仿宋_GB2312" w:eastAsia="仿宋_GB2312" w:cs="仿宋_GB2312"/>
          <w:sz w:val="32"/>
          <w:szCs w:val="32"/>
        </w:rPr>
        <w:t>。乙方货品交付完毕且甲方支付全部</w:t>
      </w:r>
      <w:r>
        <w:rPr>
          <w:rFonts w:hint="eastAsia" w:ascii="仿宋_GB2312" w:hAnsi="仿宋_GB2312" w:eastAsia="仿宋_GB2312" w:cs="仿宋_GB2312"/>
          <w:sz w:val="32"/>
          <w:szCs w:val="32"/>
          <w:lang w:val="en-US" w:eastAsia="zh-CN"/>
        </w:rPr>
        <w:t>货款</w:t>
      </w:r>
      <w:r>
        <w:rPr>
          <w:rFonts w:hint="eastAsia" w:ascii="仿宋_GB2312" w:hAnsi="仿宋_GB2312" w:eastAsia="仿宋_GB2312" w:cs="仿宋_GB2312"/>
          <w:sz w:val="32"/>
          <w:szCs w:val="32"/>
        </w:rPr>
        <w:t>后，合同终止。</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十、争议处理</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及其修订本的有效性、履行和与本合同及其修订本效力有关的所有事宜，将受中华人民共和国法律管辖，任何争议仅适用中华人民共和国法律。甲乙双方因合同的解释或履行发生争议时，首先应争取通过友好协商解决。如协商不能解决时，合同的任何一方可将争议提交</w:t>
      </w:r>
      <w:r>
        <w:rPr>
          <w:rFonts w:hint="eastAsia" w:ascii="仿宋_GB2312" w:hAnsi="仿宋_GB2312" w:eastAsia="仿宋_GB2312" w:cs="仿宋_GB2312"/>
          <w:sz w:val="32"/>
          <w:szCs w:val="32"/>
          <w:lang w:val="en-US" w:eastAsia="zh-CN"/>
        </w:rPr>
        <w:t>甲方住所地人民法院诉讼解决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除争议事项外，甲乙双方应继续履行各自本合同中</w:t>
      </w:r>
      <w:r>
        <w:rPr>
          <w:rFonts w:hint="eastAsia" w:ascii="仿宋_GB2312" w:hAnsi="仿宋_GB2312" w:eastAsia="仿宋_GB2312" w:cs="仿宋_GB2312"/>
          <w:sz w:val="32"/>
          <w:szCs w:val="32"/>
          <w:lang w:val="en-US" w:eastAsia="zh-CN"/>
        </w:rPr>
        <w:t>约</w:t>
      </w:r>
      <w:r>
        <w:rPr>
          <w:rFonts w:hint="eastAsia" w:ascii="仿宋_GB2312" w:hAnsi="仿宋_GB2312" w:eastAsia="仿宋_GB2312" w:cs="仿宋_GB2312"/>
          <w:sz w:val="32"/>
          <w:szCs w:val="32"/>
        </w:rPr>
        <w:t>定的义务和行使权利。</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w:t>
      </w:r>
      <w:r>
        <w:rPr>
          <w:rFonts w:hint="eastAsia" w:ascii="仿宋_GB2312" w:hAnsi="仿宋_GB2312" w:eastAsia="仿宋_GB2312" w:cs="仿宋_GB2312"/>
          <w:sz w:val="32"/>
          <w:szCs w:val="32"/>
          <w:lang w:val="en-US" w:eastAsia="zh-CN"/>
        </w:rPr>
        <w:t>一</w:t>
      </w:r>
      <w:r>
        <w:rPr>
          <w:rFonts w:hint="eastAsia" w:ascii="仿宋_GB2312" w:hAnsi="仿宋_GB2312" w:eastAsia="仿宋_GB2312" w:cs="仿宋_GB2312"/>
          <w:sz w:val="32"/>
          <w:szCs w:val="32"/>
        </w:rPr>
        <w:t>、合同确认</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本合同一式</w:t>
      </w:r>
      <w:r>
        <w:rPr>
          <w:rFonts w:hint="eastAsia" w:ascii="仿宋_GB2312" w:hAnsi="仿宋_GB2312" w:eastAsia="仿宋_GB2312" w:cs="仿宋_GB2312"/>
          <w:sz w:val="32"/>
          <w:szCs w:val="32"/>
          <w:lang w:val="en-US" w:eastAsia="zh-CN"/>
        </w:rPr>
        <w:t>肆</w:t>
      </w:r>
      <w:r>
        <w:rPr>
          <w:rFonts w:hint="eastAsia" w:ascii="仿宋_GB2312" w:hAnsi="仿宋_GB2312" w:eastAsia="仿宋_GB2312" w:cs="仿宋_GB2312"/>
          <w:sz w:val="32"/>
          <w:szCs w:val="32"/>
        </w:rPr>
        <w:t>份，甲乙双方各持</w:t>
      </w:r>
      <w:r>
        <w:rPr>
          <w:rFonts w:hint="eastAsia" w:ascii="仿宋_GB2312" w:hAnsi="仿宋_GB2312" w:eastAsia="仿宋_GB2312" w:cs="仿宋_GB2312"/>
          <w:sz w:val="32"/>
          <w:szCs w:val="32"/>
          <w:lang w:val="en-US" w:eastAsia="zh-CN"/>
        </w:rPr>
        <w:t>贰</w:t>
      </w:r>
      <w:r>
        <w:rPr>
          <w:rFonts w:hint="eastAsia" w:ascii="仿宋_GB2312" w:hAnsi="仿宋_GB2312" w:eastAsia="仿宋_GB2312" w:cs="仿宋_GB2312"/>
          <w:sz w:val="32"/>
          <w:szCs w:val="32"/>
        </w:rPr>
        <w:t>份，</w:t>
      </w:r>
      <w:r>
        <w:rPr>
          <w:rFonts w:hint="eastAsia" w:ascii="仿宋_GB2312" w:hAnsi="仿宋_GB2312" w:eastAsia="仿宋_GB2312" w:cs="仿宋_GB2312"/>
          <w:sz w:val="32"/>
          <w:szCs w:val="32"/>
          <w:lang w:val="en-US" w:eastAsia="zh-CN"/>
        </w:rPr>
        <w:t>双方签字或盖章</w:t>
      </w:r>
      <w:r>
        <w:rPr>
          <w:rFonts w:hint="eastAsia" w:ascii="仿宋_GB2312" w:hAnsi="仿宋_GB2312" w:eastAsia="仿宋_GB2312" w:cs="仿宋_GB2312"/>
          <w:sz w:val="32"/>
          <w:szCs w:val="32"/>
        </w:rPr>
        <w:t>之日起生效。</w:t>
      </w:r>
    </w:p>
    <w:p>
      <w:pPr>
        <w:keepNext w:val="0"/>
        <w:keepLines w:val="0"/>
        <w:pageBreakBefore w:val="0"/>
        <w:kinsoku/>
        <w:wordWrap/>
        <w:overflowPunct/>
        <w:topLinePunct w:val="0"/>
        <w:autoSpaceDE/>
        <w:autoSpaceDN/>
        <w:bidi w:val="0"/>
        <w:adjustRightInd/>
        <w:snapToGrid/>
        <w:spacing w:line="574"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附件：采购明细表</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甲方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甲方代表：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乙</w:t>
      </w:r>
      <w:r>
        <w:rPr>
          <w:rFonts w:hint="eastAsia" w:ascii="仿宋_GB2312" w:hAnsi="仿宋_GB2312" w:eastAsia="仿宋_GB2312" w:cs="仿宋_GB2312"/>
          <w:sz w:val="32"/>
          <w:szCs w:val="32"/>
        </w:rPr>
        <w:t>方</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盖章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乙方代表：                  </w:t>
      </w:r>
    </w:p>
    <w:p>
      <w:pPr>
        <w:keepNext w:val="0"/>
        <w:keepLines w:val="0"/>
        <w:pageBreakBefore w:val="0"/>
        <w:kinsoku/>
        <w:wordWrap/>
        <w:overflowPunct/>
        <w:topLinePunct w:val="0"/>
        <w:autoSpaceDE/>
        <w:autoSpaceDN/>
        <w:bidi w:val="0"/>
        <w:adjustRightInd/>
        <w:snapToGrid/>
        <w:spacing w:line="574"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联系方式：                                  </w:t>
      </w:r>
    </w:p>
    <w:p>
      <w:pPr>
        <w:keepNext w:val="0"/>
        <w:keepLines w:val="0"/>
        <w:pageBreakBefore w:val="0"/>
        <w:kinsoku/>
        <w:wordWrap/>
        <w:overflowPunct/>
        <w:topLinePunct w:val="0"/>
        <w:autoSpaceDE/>
        <w:autoSpaceDN/>
        <w:bidi w:val="0"/>
        <w:adjustRightInd/>
        <w:snapToGrid/>
        <w:spacing w:line="574" w:lineRule="exact"/>
        <w:textAlignment w:val="auto"/>
        <w:rPr>
          <w:rFonts w:hint="default"/>
          <w:lang w:val="en-US" w:eastAsia="zh-CN"/>
        </w:rPr>
      </w:pPr>
      <w:r>
        <w:rPr>
          <w:rFonts w:hint="eastAsia" w:ascii="仿宋_GB2312" w:hAnsi="仿宋_GB2312" w:eastAsia="仿宋_GB2312" w:cs="仿宋_GB2312"/>
          <w:sz w:val="32"/>
          <w:szCs w:val="32"/>
          <w:lang w:val="en-US" w:eastAsia="zh-CN"/>
        </w:rPr>
        <w:t xml:space="preserve">日期：  </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r>
        <w:rPr>
          <w:rFonts w:hint="eastAsia" w:ascii="仿宋_GB2312" w:hAnsi="仿宋_GB2312" w:eastAsia="仿宋_GB2312" w:cs="仿宋_GB2312"/>
          <w:sz w:val="32"/>
          <w:szCs w:val="32"/>
          <w:lang w:val="en-US" w:eastAsia="zh-CN"/>
        </w:rPr>
        <w:t xml:space="preserve"> </w:t>
      </w:r>
    </w:p>
    <w:p/>
    <w:sectPr>
      <w:pgSz w:w="11906" w:h="16838"/>
      <w:pgMar w:top="1440" w:right="1803" w:bottom="1440" w:left="1803" w:header="851" w:footer="992" w:gutter="0"/>
      <w:paperSrc/>
      <w:cols w:space="0" w:num="1"/>
      <w:rtlGutter w:val="0"/>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94" w:lineRule="auto"/>
      <w:rPr>
        <w:rFonts w:ascii="Times New Roman" w:hAnsi="Times New Roman" w:eastAsia="Times New Roman" w:cs="Times New Roman"/>
        <w:sz w:val="20"/>
        <w:szCs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 </w:t>
                    </w:r>
                    <w:r>
                      <w:fldChar w:fldCharType="begin"/>
                    </w:r>
                    <w:r>
                      <w:instrText xml:space="preserve"> PAGE  \* MERGEFORMAT </w:instrText>
                    </w:r>
                    <w:r>
                      <w:fldChar w:fldCharType="separate"/>
                    </w:r>
                    <w:r>
                      <w:t>21</w:t>
                    </w:r>
                    <w:r>
                      <w:fldChar w:fldCharType="end"/>
                    </w:r>
                    <w: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44E34AB"/>
    <w:multiLevelType w:val="singleLevel"/>
    <w:tmpl w:val="A44E34A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0"/>
  <w:bordersDoNotSurroundFooter w:val="0"/>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52F3AB7"/>
    <w:rsid w:val="052F3AB7"/>
    <w:rsid w:val="32EC0BEA"/>
    <w:rsid w:val="361719C1"/>
    <w:rsid w:val="381F6C9C"/>
    <w:rsid w:val="52421625"/>
    <w:rsid w:val="635F12B0"/>
    <w:rsid w:val="6A65344F"/>
    <w:rsid w:val="6D4E5FC4"/>
    <w:rsid w:val="73F5420F"/>
    <w:rsid w:val="7CEB20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Arial Unicode MS"/>
      <w:color w:val="auto"/>
      <w:spacing w:val="0"/>
      <w:w w:val="100"/>
      <w:position w:val="0"/>
      <w:sz w:val="24"/>
      <w:szCs w:val="24"/>
      <w:shd w:val="clear" w:color="auto" w:fill="auto"/>
      <w:lang w:val="en-US" w:eastAsia="en-US" w:bidi="en-US"/>
    </w:rPr>
  </w:style>
  <w:style w:type="paragraph" w:styleId="2">
    <w:name w:val="heading 3"/>
    <w:basedOn w:val="1"/>
    <w:next w:val="1"/>
    <w:unhideWhenUsed/>
    <w:qFormat/>
    <w:uiPriority w:val="9"/>
    <w:pPr>
      <w:keepNext/>
      <w:keepLines/>
      <w:spacing w:before="260" w:after="260" w:line="416" w:lineRule="auto"/>
      <w:outlineLvl w:val="2"/>
    </w:pPr>
    <w:rPr>
      <w:rFonts w:ascii="Times New Roman" w:hAnsi="Times New Roman" w:eastAsia="宋体" w:cs="Times New Roman"/>
      <w:b/>
      <w:bCs/>
      <w:sz w:val="32"/>
      <w:szCs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rPr>
      <w:rFonts w:ascii="华文中宋" w:eastAsia="华文中宋"/>
      <w:bCs/>
      <w:sz w:val="28"/>
    </w:rPr>
  </w:style>
  <w:style w:type="paragraph" w:styleId="4">
    <w:name w:val="footer"/>
    <w:basedOn w:val="1"/>
    <w:qFormat/>
    <w:uiPriority w:val="99"/>
    <w:pPr>
      <w:tabs>
        <w:tab w:val="center" w:pos="4153"/>
        <w:tab w:val="right" w:pos="8306"/>
      </w:tabs>
      <w:snapToGrid w:val="0"/>
      <w:jc w:val="left"/>
    </w:pPr>
    <w:rPr>
      <w:sz w:val="18"/>
      <w:szCs w:val="20"/>
    </w:rPr>
  </w:style>
  <w:style w:type="character" w:customStyle="1" w:styleId="7">
    <w:name w:val="font11"/>
    <w:basedOn w:val="6"/>
    <w:qFormat/>
    <w:uiPriority w:val="0"/>
    <w:rPr>
      <w:rFonts w:hint="eastAsia" w:ascii="宋体" w:hAnsi="宋体" w:eastAsia="宋体" w:cs="宋体"/>
      <w:color w:val="000000"/>
      <w:sz w:val="18"/>
      <w:szCs w:val="18"/>
      <w:u w:val="none"/>
    </w:rPr>
  </w:style>
  <w:style w:type="character" w:customStyle="1" w:styleId="8">
    <w:name w:val="font41"/>
    <w:basedOn w:val="6"/>
    <w:qFormat/>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4823</Words>
  <Characters>5744</Characters>
  <Lines>0</Lines>
  <Paragraphs>0</Paragraphs>
  <TotalTime>10</TotalTime>
  <ScaleCrop>false</ScaleCrop>
  <LinksUpToDate>false</LinksUpToDate>
  <CharactersWithSpaces>6132</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2023-04-28T02:02:00Z</dcterms:created>
  <dc:creator>一路向前</dc:creator>
  <cp:lastModifiedBy>一路向前</cp:lastModifiedBy>
  <dcterms:modified xsi:type="dcterms:W3CDTF">2023-09-15T06:31:45Z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76C9A4773B63434B9FC51B57D37D2DB1_11</vt:lpwstr>
  </property>
</Properties>
</file>