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为四川江油画屏尚景景区管理有限责任公司提供龙柱广场安装ETC闸机项目服务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在龙柱广场安装ETC自动扣费系统，并对道路进行硬化。</w:t>
      </w:r>
    </w:p>
    <w:tbl>
      <w:tblPr>
        <w:tblW w:w="9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455"/>
        <w:gridCol w:w="1295"/>
        <w:gridCol w:w="977"/>
        <w:gridCol w:w="557"/>
        <w:gridCol w:w="600"/>
        <w:gridCol w:w="560"/>
        <w:gridCol w:w="4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34" w:hRule="atLeast"/>
        </w:trPr>
        <w:tc>
          <w:tcPr>
            <w:tcW w:w="9420" w:type="dxa"/>
            <w:gridSpan w:val="7"/>
            <w:tcBorders>
              <w:top w:val="nil"/>
              <w:left w:val="nil"/>
              <w:bottom w:val="nil"/>
              <w:right w:val="nil"/>
            </w:tcBorders>
            <w:shd w:val="clear"/>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spacing w:val="0"/>
                <w:w w:val="100"/>
                <w:kern w:val="0"/>
                <w:position w:val="0"/>
                <w:sz w:val="28"/>
                <w:szCs w:val="28"/>
                <w:u w:val="none"/>
                <w:bdr w:val="none" w:color="auto" w:sz="0" w:space="0"/>
                <w:shd w:val="clear" w:color="auto" w:fill="auto"/>
                <w:lang w:val="en-US" w:eastAsia="zh-CN" w:bidi="ar"/>
              </w:rPr>
              <w:t>硬件设备报价清单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9" w:hRule="atLeast"/>
        </w:trPr>
        <w:tc>
          <w:tcPr>
            <w:tcW w:w="4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序号</w:t>
            </w:r>
          </w:p>
        </w:tc>
        <w:tc>
          <w:tcPr>
            <w:tcW w:w="1295"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产品名称</w:t>
            </w:r>
          </w:p>
        </w:tc>
        <w:tc>
          <w:tcPr>
            <w:tcW w:w="97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型号</w:t>
            </w:r>
          </w:p>
        </w:tc>
        <w:tc>
          <w:tcPr>
            <w:tcW w:w="55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品牌</w:t>
            </w: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数量</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单位</w:t>
            </w:r>
          </w:p>
        </w:tc>
        <w:tc>
          <w:tcPr>
            <w:tcW w:w="497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设备参数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74" w:hRule="atLeast"/>
        </w:trPr>
        <w:tc>
          <w:tcPr>
            <w:tcW w:w="9420"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机动车道：2进2出+车牌识别+直杆道闸；出口ETC扣费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64"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1</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车牌识别显示一体机</w:t>
            </w:r>
          </w:p>
        </w:tc>
        <w:tc>
          <w:tcPr>
            <w:tcW w:w="97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55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5</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1、300万高清摄像机运动目标检测， 高清网络，强光抑制、内置车牌号识别算法、开闸信号，可传送白名单；</w:t>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2、可驱动语音，可驱动显示屏，可输出各种开闸信号；</w:t>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3、定制外壳防潮，防水；</w:t>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4、采用进口灯珠  黄白混合光源 夜间让车牌号清晰；</w:t>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5、可设置固定时间；</w:t>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6、含语音卡喇叭，自定义语音播报   显示车辆进入时间、车牌号、车种类;</w:t>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7、四行高亮度（全彩）LED屏中英文双显，室外防水，强光下可见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29"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2</w:t>
            </w:r>
          </w:p>
        </w:tc>
        <w:tc>
          <w:tcPr>
            <w:tcW w:w="129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ETC读卡天线</w:t>
            </w:r>
          </w:p>
        </w:tc>
        <w:tc>
          <w:tcPr>
            <w:tcW w:w="97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1、ETC无感支付；</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2、双模识别校验。</w:t>
            </w:r>
          </w:p>
        </w:tc>
        <w:tc>
          <w:tcPr>
            <w:tcW w:w="55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台</w:t>
            </w:r>
          </w:p>
        </w:tc>
        <w:tc>
          <w:tcPr>
            <w:tcW w:w="497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外形尺寸：270*220*63(mm)</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重量：约2kg（不含支架）</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外壳材料：ABS+PC 工程塑料及铝合金</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电源输入：12-24V DC 电源输入（支持选配件 220V/AC 输入）,三线防水接头</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防护等级：IP65</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工作温度:-40℃～+85℃</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防雷:抗 4kV 10/200μs 雷击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28"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3</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摄像机伸缩立柱</w:t>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 xml:space="preserve">(B款含组件) </w:t>
            </w:r>
          </w:p>
        </w:tc>
        <w:tc>
          <w:tcPr>
            <w:tcW w:w="97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55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根</w:t>
            </w:r>
          </w:p>
        </w:tc>
        <w:tc>
          <w:tcPr>
            <w:tcW w:w="497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73"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4</w:t>
            </w:r>
          </w:p>
        </w:tc>
        <w:tc>
          <w:tcPr>
            <w:tcW w:w="12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 xml:space="preserve"> 扫码一体机</w:t>
            </w:r>
          </w:p>
        </w:tc>
        <w:tc>
          <w:tcPr>
            <w:tcW w:w="9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55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1、含喇叭、显示屏、按钮，电源等配件,</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2、出口实现自助扫描（主动和被动）、对讲呼叫；</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3、含LCD屏，可播放广告等信息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88"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5</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bdr w:val="none" w:color="auto" w:sz="0" w:space="0"/>
                <w:shd w:val="clear" w:color="auto" w:fill="auto"/>
                <w:lang w:val="en-US" w:eastAsia="zh-CN" w:bidi="ar"/>
              </w:rPr>
              <w:t>道闸</w:t>
            </w:r>
          </w:p>
        </w:tc>
        <w:tc>
          <w:tcPr>
            <w:tcW w:w="97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c>
          <w:tcPr>
            <w:tcW w:w="557"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bdr w:val="none" w:color="auto" w:sz="0" w:space="0"/>
                <w:shd w:val="clear" w:color="auto" w:fill="auto"/>
                <w:lang w:val="en-US" w:eastAsia="zh-CN" w:bidi="ar"/>
              </w:rPr>
              <w:t>4</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bdr w:val="none" w:color="auto" w:sz="0" w:space="0"/>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自动道闸机：直流无刷高速变频道闸，起落更平稳；</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 xml:space="preserve">规格：长33 cm*宽24cm *高98 cm         </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调速0.8-2.5秒，  直杆长1-6米可选</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学习码遥控器，标配2台</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箱体颜色：橘红色、黄色、浅灰色可选</w:t>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杆子颜色：红白色、黄黑色可选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63"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6</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雷达</w:t>
            </w:r>
          </w:p>
        </w:tc>
        <w:tc>
          <w:tcPr>
            <w:tcW w:w="97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5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4</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道闸雷达；自动落杆及防砸车之用；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3"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7</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停车场管理软件</w:t>
            </w:r>
          </w:p>
        </w:tc>
        <w:tc>
          <w:tcPr>
            <w:tcW w:w="97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p>
        </w:tc>
        <w:tc>
          <w:tcPr>
            <w:tcW w:w="55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1</w:t>
            </w:r>
          </w:p>
        </w:tc>
        <w:tc>
          <w:tcPr>
            <w:tcW w:w="5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套</w:t>
            </w:r>
          </w:p>
        </w:tc>
        <w:tc>
          <w:tcPr>
            <w:tcW w:w="497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0"/>
                <w:bdr w:val="none" w:color="auto" w:sz="0" w:space="0"/>
                <w:shd w:val="clear" w:color="auto" w:fill="auto"/>
                <w:lang w:val="en-US" w:eastAsia="zh-CN" w:bidi="ar"/>
              </w:rPr>
              <w:t>车辆比对、收费，显示进出口图片、入场时间，计算停留时间及费用，收费；</w:t>
            </w:r>
            <w:r>
              <w:rPr>
                <w:rStyle w:val="11"/>
                <w:bdr w:val="none" w:color="auto" w:sz="0" w:space="0"/>
                <w:shd w:val="clear" w:color="auto" w:fill="auto"/>
                <w:lang w:val="en-US" w:eastAsia="zh-CN" w:bidi="ar"/>
              </w:rPr>
              <w:t>可免费升级做扫码支付；使用现场必须连外网，</w:t>
            </w:r>
            <w:r>
              <w:rPr>
                <w:rStyle w:val="12"/>
                <w:bdr w:val="none" w:color="auto" w:sz="0" w:space="0"/>
                <w:shd w:val="clear" w:color="auto" w:fill="auto"/>
                <w:lang w:val="en-US" w:eastAsia="zh-CN" w:bidi="ar"/>
              </w:rPr>
              <w:br w:type="textWrapping"/>
            </w:r>
            <w:r>
              <w:rPr>
                <w:rStyle w:val="12"/>
                <w:bdr w:val="none" w:color="auto" w:sz="0" w:space="0"/>
                <w:shd w:val="clear" w:color="auto" w:fill="auto"/>
                <w:lang w:val="en-US" w:eastAsia="zh-CN" w:bidi="ar"/>
              </w:rPr>
              <w:t xml:space="preserve"> </w:t>
            </w:r>
            <w:r>
              <w:rPr>
                <w:rStyle w:val="13"/>
                <w:bdr w:val="none" w:color="auto" w:sz="0" w:space="0"/>
                <w:shd w:val="clear" w:color="auto" w:fill="auto"/>
                <w:lang w:val="en-US" w:eastAsia="zh-CN" w:bidi="ar"/>
              </w:rPr>
              <w:t>含车牌识别加密狗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8</w:t>
            </w:r>
          </w:p>
        </w:tc>
        <w:tc>
          <w:tcPr>
            <w:tcW w:w="3989"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小计：</w:t>
            </w:r>
          </w:p>
        </w:tc>
        <w:tc>
          <w:tcPr>
            <w:tcW w:w="4976"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default" w:ascii="Times New Roman" w:hAnsi="Times New Roman" w:eastAsia="宋体"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0"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9</w:t>
            </w:r>
          </w:p>
        </w:tc>
        <w:tc>
          <w:tcPr>
            <w:tcW w:w="3989"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安装调试费（负责点对点安装调试，运费等）</w:t>
            </w:r>
          </w:p>
        </w:tc>
        <w:tc>
          <w:tcPr>
            <w:tcW w:w="497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5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bdr w:val="none" w:color="auto" w:sz="0" w:space="0"/>
                <w:shd w:val="clear" w:color="auto" w:fill="auto"/>
                <w:lang w:val="en-US" w:eastAsia="zh-CN" w:bidi="ar"/>
              </w:rPr>
              <w:t>10</w:t>
            </w:r>
          </w:p>
        </w:tc>
        <w:tc>
          <w:tcPr>
            <w:tcW w:w="3989"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bdr w:val="none" w:color="auto" w:sz="0" w:space="0"/>
                <w:shd w:val="clear" w:color="auto" w:fill="auto"/>
                <w:lang w:val="en-US" w:eastAsia="zh-CN" w:bidi="ar"/>
              </w:rPr>
              <w:t>项目合计</w:t>
            </w:r>
          </w:p>
        </w:tc>
        <w:tc>
          <w:tcPr>
            <w:tcW w:w="497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微软雅黑" w:hAnsi="微软雅黑" w:eastAsia="微软雅黑" w:cs="微软雅黑"/>
                <w:b/>
                <w:bCs/>
                <w:i w:val="0"/>
                <w:iCs w:val="0"/>
                <w:color w:val="000000"/>
                <w:sz w:val="20"/>
                <w:szCs w:val="20"/>
                <w:u w:val="none"/>
              </w:rPr>
            </w:pPr>
          </w:p>
        </w:tc>
      </w:tr>
    </w:tbl>
    <w:p>
      <w:pPr>
        <w:rPr>
          <w:rFonts w:hint="default"/>
          <w:lang w:val="en-US" w:eastAsia="zh-CN"/>
        </w:rPr>
      </w:pPr>
    </w:p>
    <w:p>
      <w:pPr>
        <w:keepNext w:val="0"/>
        <w:keepLines w:val="0"/>
        <w:pageBreakBefore w:val="0"/>
        <w:widowControl w:val="0"/>
        <w:numPr>
          <w:ilvl w:val="0"/>
          <w:numId w:val="0"/>
        </w:numPr>
        <w:shd w:val="clear" w:color="auto" w:fill="auto"/>
        <w:tabs>
          <w:tab w:val="left" w:pos="582"/>
        </w:tabs>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三、备注</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1、报价需包含安装费、调试费、运输费及税费等费用；</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default"/>
          <w:u w:val="none"/>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2、项目实施周期：</w:t>
      </w:r>
      <w:r>
        <w:rPr>
          <w:rFonts w:hint="eastAsia" w:ascii="仿宋" w:hAnsi="仿宋" w:eastAsia="仿宋" w:cs="仿宋"/>
          <w:b w:val="0"/>
          <w:bCs w:val="0"/>
          <w:color w:val="auto"/>
          <w:spacing w:val="0"/>
          <w:w w:val="100"/>
          <w:position w:val="0"/>
          <w:sz w:val="32"/>
          <w:szCs w:val="32"/>
          <w:u w:val="single" w:color="auto"/>
          <w:shd w:val="clear" w:color="auto" w:fill="auto"/>
          <w:lang w:val="en-US" w:eastAsia="zh-CN" w:bidi="en-US"/>
        </w:rPr>
        <w:t>10</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天内。</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龙柱广场安装ETC闸机项目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我方全面研究了“龙柱广场安装ETC闸机项目比选竞标函”，决定参加贵单位组织的本项目比选，并自觉遵守服务相关规定，遵守服务规则，维护正常的服务秩序。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shd w:val="clear" w:color="auto" w:fil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pStyle w:val="2"/>
        <w:rPr>
          <w:rFonts w:hint="default"/>
          <w:lang w:val="en-US" w:eastAsia="zh-CN"/>
        </w:rPr>
      </w:pPr>
    </w:p>
    <w:tbl>
      <w:tblPr>
        <w:tblStyle w:val="5"/>
        <w:tblW w:w="9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5"/>
        <w:gridCol w:w="1295"/>
        <w:gridCol w:w="977"/>
        <w:gridCol w:w="557"/>
        <w:gridCol w:w="600"/>
        <w:gridCol w:w="560"/>
        <w:gridCol w:w="4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4" w:hRule="atLeast"/>
        </w:trPr>
        <w:tc>
          <w:tcPr>
            <w:tcW w:w="942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spacing w:val="0"/>
                <w:w w:val="100"/>
                <w:kern w:val="0"/>
                <w:position w:val="0"/>
                <w:sz w:val="28"/>
                <w:szCs w:val="28"/>
                <w:u w:val="none"/>
                <w:shd w:val="clear" w:color="auto" w:fill="auto"/>
                <w:lang w:val="en-US" w:eastAsia="zh-CN" w:bidi="ar"/>
              </w:rPr>
              <w:t>硬件设备报价清单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9" w:hRule="atLeast"/>
        </w:trPr>
        <w:tc>
          <w:tcPr>
            <w:tcW w:w="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序号</w:t>
            </w:r>
          </w:p>
        </w:tc>
        <w:tc>
          <w:tcPr>
            <w:tcW w:w="12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产品名称</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型号</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品牌</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数量</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单位</w:t>
            </w:r>
          </w:p>
        </w:tc>
        <w:tc>
          <w:tcPr>
            <w:tcW w:w="4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设备参数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94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机动车道：2进2出+车牌识别+直杆道闸；出口ETC扣费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4"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车牌识别显示一体机</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1、300万高清摄像机运动目标检测， 高清网络，强光抑制、内置车牌号识别算法、开闸信号，可传送白名单；</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2、可驱动语音，可驱动显示屏，可输出各种开闸信号；</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3、定制外壳防潮，防水；</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4、采用进口灯珠  黄白混合光源 夜间让车牌号清晰；</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5、可设置固定时间；</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6、含语音卡喇叭，自定义语音播报   显示车辆进入时间、车牌号、车种类;</w:t>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7、四行高亮度（全彩）LED屏中英文双显，室外防水，强光下可见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9"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12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ETC读卡天线</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1、ETC无感支付；</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2、双模识别校验。</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4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外形尺寸：270*220*63(mm)</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重量：约2kg（不含支架）</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外壳材料：ABS+PC 工程塑料及铝合金</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电源输入：12-24V DC 电源输入（支持选配件 220V/AC 输入）,三线防水接头</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防护等级：IP65</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工作温度:-40℃～+85℃</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防雷:抗 4kV 10/200μs 雷击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8"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摄像机伸缩立柱</w:t>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(B款含组件) </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根</w:t>
            </w:r>
          </w:p>
        </w:tc>
        <w:tc>
          <w:tcPr>
            <w:tcW w:w="4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3"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w:t>
            </w:r>
          </w:p>
        </w:tc>
        <w:tc>
          <w:tcPr>
            <w:tcW w:w="12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 xml:space="preserve"> 扫码一体机</w:t>
            </w:r>
          </w:p>
        </w:tc>
        <w:tc>
          <w:tcPr>
            <w:tcW w:w="97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定制</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2</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1、含喇叭、显示屏、按钮，电源等配件,</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2、出口实现自助扫描（主动和被动）、对讲呼叫；</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3、含LCD屏，可播放广告等信息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8"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5</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道闸</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p>
        </w:tc>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4</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自动道闸机：直流无刷高速变频道闸，起落更平稳；</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 xml:space="preserve">规格：长33 cm*宽24cm *高98 cm         </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调速0.8-2.5秒，  直杆长1-6米可选</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学习码遥控器，标配2台</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箱体颜色：橘红色、黄色、浅灰色可选</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杆子颜色：红白色、黄黑色可选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3"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6</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雷达</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台</w:t>
            </w:r>
          </w:p>
        </w:tc>
        <w:tc>
          <w:tcPr>
            <w:tcW w:w="4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道闸雷达；自动落杆及防砸车之用；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3"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7</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停车场管理软件</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套</w:t>
            </w:r>
          </w:p>
        </w:tc>
        <w:tc>
          <w:tcPr>
            <w:tcW w:w="4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0"/>
                <w:shd w:val="clear" w:color="auto" w:fill="auto"/>
                <w:lang w:val="en-US" w:eastAsia="zh-CN" w:bidi="ar"/>
              </w:rPr>
              <w:t>车辆比对、收费，显示进出口图片、入场时间，计算停留时间及费用，收费；</w:t>
            </w:r>
            <w:r>
              <w:rPr>
                <w:rStyle w:val="11"/>
                <w:shd w:val="clear" w:color="auto" w:fill="auto"/>
                <w:lang w:val="en-US" w:eastAsia="zh-CN" w:bidi="ar"/>
              </w:rPr>
              <w:t>可免费升级做扫码支付；使用现场必须连外网，</w:t>
            </w:r>
            <w:r>
              <w:rPr>
                <w:rStyle w:val="12"/>
                <w:shd w:val="clear" w:color="auto" w:fill="auto"/>
                <w:lang w:val="en-US" w:eastAsia="zh-CN" w:bidi="ar"/>
              </w:rPr>
              <w:br w:type="textWrapping"/>
            </w:r>
            <w:r>
              <w:rPr>
                <w:rStyle w:val="12"/>
                <w:shd w:val="clear" w:color="auto" w:fill="auto"/>
                <w:lang w:val="en-US" w:eastAsia="zh-CN" w:bidi="ar"/>
              </w:rPr>
              <w:t xml:space="preserve"> </w:t>
            </w:r>
            <w:r>
              <w:rPr>
                <w:rStyle w:val="13"/>
                <w:shd w:val="clear" w:color="auto" w:fill="auto"/>
                <w:lang w:val="en-US" w:eastAsia="zh-CN" w:bidi="ar"/>
              </w:rPr>
              <w:t>含车牌识别加密狗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8</w:t>
            </w:r>
          </w:p>
        </w:tc>
        <w:tc>
          <w:tcPr>
            <w:tcW w:w="39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小计：</w:t>
            </w:r>
          </w:p>
        </w:tc>
        <w:tc>
          <w:tcPr>
            <w:tcW w:w="4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9</w:t>
            </w:r>
          </w:p>
        </w:tc>
        <w:tc>
          <w:tcPr>
            <w:tcW w:w="39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安装调试费（负责点对点安装调试，运费等）</w:t>
            </w:r>
          </w:p>
        </w:tc>
        <w:tc>
          <w:tcPr>
            <w:tcW w:w="49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5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10</w:t>
            </w:r>
          </w:p>
        </w:tc>
        <w:tc>
          <w:tcPr>
            <w:tcW w:w="3989"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spacing w:val="0"/>
                <w:w w:val="100"/>
                <w:kern w:val="0"/>
                <w:position w:val="0"/>
                <w:sz w:val="20"/>
                <w:szCs w:val="20"/>
                <w:u w:val="none"/>
                <w:shd w:val="clear" w:color="auto" w:fill="auto"/>
                <w:lang w:val="en-US" w:eastAsia="zh-CN" w:bidi="ar"/>
              </w:rPr>
              <w:t>项目合计</w:t>
            </w:r>
          </w:p>
        </w:tc>
        <w:tc>
          <w:tcPr>
            <w:tcW w:w="497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微软雅黑" w:hAnsi="微软雅黑" w:eastAsia="微软雅黑" w:cs="微软雅黑"/>
                <w:b/>
                <w:bCs/>
                <w:i w:val="0"/>
                <w:iCs w:val="0"/>
                <w:color w:val="000000"/>
                <w:sz w:val="20"/>
                <w:szCs w:val="20"/>
                <w:u w:val="none"/>
              </w:rPr>
            </w:pPr>
          </w:p>
        </w:tc>
      </w:tr>
    </w:tbl>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附件2：合同主要条款</w:t>
      </w:r>
    </w:p>
    <w:p>
      <w:pPr>
        <w:shd w:val="clear" w:color="auto" w:fill="auto"/>
        <w:adjustRightInd w:val="0"/>
        <w:snapToGrid w:val="0"/>
        <w:spacing w:line="360" w:lineRule="auto"/>
        <w:jc w:val="center"/>
        <w:outlineLvl w:val="0"/>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龙柱广场ETC闸机采购、安装合同</w:t>
      </w:r>
    </w:p>
    <w:p>
      <w:pPr>
        <w:autoSpaceDE w:val="0"/>
        <w:autoSpaceDN w:val="0"/>
        <w:adjustRightInd w:val="0"/>
        <w:snapToGrid w:val="0"/>
        <w:spacing w:line="360" w:lineRule="auto"/>
        <w:jc w:val="left"/>
        <w:rPr>
          <w:rFonts w:hint="eastAsia" w:ascii="Arial" w:hAnsi="Arial"/>
          <w:snapToGrid w:val="0"/>
          <w:kern w:val="0"/>
        </w:rPr>
      </w:pPr>
      <w:bookmarkStart w:id="2" w:name="_GoBack"/>
      <w:bookmarkEnd w:id="2"/>
    </w:p>
    <w:p>
      <w:pPr>
        <w:autoSpaceDE w:val="0"/>
        <w:autoSpaceDN w:val="0"/>
        <w:adjustRightInd w:val="0"/>
        <w:snapToGrid w:val="0"/>
        <w:spacing w:line="360" w:lineRule="auto"/>
        <w:jc w:val="left"/>
        <w:rPr>
          <w:rFonts w:hint="eastAsia" w:ascii="Arial" w:hAnsi="Arial"/>
          <w:snapToGrid w:val="0"/>
          <w:kern w:val="0"/>
        </w:rPr>
      </w:pPr>
      <w:r>
        <w:rPr>
          <w:rFonts w:hint="eastAsia" w:ascii="Arial" w:hAnsi="Arial"/>
          <w:snapToGrid w:val="0"/>
          <w:kern w:val="0"/>
        </w:rPr>
        <w:t>本合同由以下双方在成都市签署：</w:t>
      </w:r>
    </w:p>
    <w:tbl>
      <w:tblPr>
        <w:tblStyle w:val="5"/>
        <w:tblW w:w="8574"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6"/>
        <w:gridCol w:w="3402"/>
        <w:gridCol w:w="3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6" w:type="dxa"/>
            <w:noWrap w:val="0"/>
            <w:vAlign w:val="center"/>
          </w:tcPr>
          <w:p>
            <w:pPr>
              <w:autoSpaceDE w:val="0"/>
              <w:autoSpaceDN w:val="0"/>
              <w:adjustRightInd w:val="0"/>
              <w:snapToGrid w:val="0"/>
              <w:rPr>
                <w:rFonts w:hint="eastAsia" w:ascii="宋体" w:hAnsi="宋体"/>
                <w:snapToGrid w:val="0"/>
                <w:kern w:val="0"/>
              </w:rPr>
            </w:pPr>
            <w:r>
              <w:rPr>
                <w:rFonts w:hint="eastAsia" w:ascii="宋体" w:hAnsi="宋体"/>
                <w:snapToGrid w:val="0"/>
                <w:kern w:val="0"/>
              </w:rPr>
              <w:t>合同双方</w:t>
            </w:r>
          </w:p>
        </w:tc>
        <w:tc>
          <w:tcPr>
            <w:tcW w:w="3402" w:type="dxa"/>
            <w:noWrap w:val="0"/>
            <w:vAlign w:val="center"/>
          </w:tcPr>
          <w:p>
            <w:pPr>
              <w:autoSpaceDE w:val="0"/>
              <w:autoSpaceDN w:val="0"/>
              <w:adjustRightInd w:val="0"/>
              <w:snapToGrid w:val="0"/>
              <w:rPr>
                <w:rFonts w:hint="eastAsia" w:ascii="宋体" w:hAnsi="宋体"/>
              </w:rPr>
            </w:pPr>
            <w:r>
              <w:rPr>
                <w:rFonts w:hint="eastAsia" w:ascii="宋体" w:hAnsi="宋体"/>
              </w:rPr>
              <w:t>甲方（买方）：</w:t>
            </w:r>
          </w:p>
        </w:tc>
        <w:tc>
          <w:tcPr>
            <w:tcW w:w="3686" w:type="dxa"/>
            <w:noWrap w:val="0"/>
            <w:vAlign w:val="center"/>
          </w:tcPr>
          <w:p>
            <w:pPr>
              <w:rPr>
                <w:rFonts w:hint="eastAsia" w:ascii="宋体" w:hAnsi="宋体" w:eastAsia="宋体"/>
                <w:sz w:val="21"/>
                <w:szCs w:val="22"/>
              </w:rPr>
            </w:pPr>
            <w:r>
              <w:rPr>
                <w:rFonts w:hint="eastAsia" w:ascii="宋体" w:hAnsi="宋体"/>
              </w:rPr>
              <w:t>乙方（卖方）：</w:t>
            </w:r>
          </w:p>
          <w:p>
            <w:pP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6" w:type="dxa"/>
            <w:noWrap w:val="0"/>
            <w:vAlign w:val="center"/>
          </w:tcPr>
          <w:p>
            <w:pPr>
              <w:autoSpaceDE w:val="0"/>
              <w:autoSpaceDN w:val="0"/>
              <w:adjustRightInd w:val="0"/>
              <w:snapToGrid w:val="0"/>
              <w:rPr>
                <w:rFonts w:hint="eastAsia" w:ascii="宋体" w:hAnsi="宋体"/>
                <w:snapToGrid w:val="0"/>
                <w:kern w:val="0"/>
              </w:rPr>
            </w:pPr>
            <w:r>
              <w:rPr>
                <w:rFonts w:hint="eastAsia" w:ascii="宋体" w:hAnsi="宋体"/>
                <w:snapToGrid w:val="0"/>
                <w:kern w:val="0"/>
              </w:rPr>
              <w:t>地址：</w:t>
            </w:r>
          </w:p>
        </w:tc>
        <w:tc>
          <w:tcPr>
            <w:tcW w:w="3402" w:type="dxa"/>
            <w:noWrap w:val="0"/>
            <w:vAlign w:val="center"/>
          </w:tcPr>
          <w:p>
            <w:pPr>
              <w:autoSpaceDE w:val="0"/>
              <w:autoSpaceDN w:val="0"/>
              <w:adjustRightInd w:val="0"/>
              <w:snapToGrid w:val="0"/>
              <w:rPr>
                <w:rFonts w:hint="eastAsia" w:ascii="宋体" w:hAnsi="宋体"/>
              </w:rPr>
            </w:pPr>
          </w:p>
        </w:tc>
        <w:tc>
          <w:tcPr>
            <w:tcW w:w="3686" w:type="dxa"/>
            <w:noWrap w:val="0"/>
            <w:vAlign w:val="center"/>
          </w:tcPr>
          <w:p>
            <w:pPr>
              <w:spacing w:line="480" w:lineRule="auto"/>
              <w:ind w:firstLine="0" w:firstLineChars="0"/>
              <w:rPr>
                <w:rFonts w:hint="eastAsia" w:ascii="宋体" w:hAnsi="宋体" w:eastAsia="宋体"/>
                <w:sz w:val="21"/>
                <w:szCs w:val="22"/>
              </w:rPr>
            </w:pPr>
            <w:r>
              <w:rPr>
                <w:rFonts w:hint="eastAsia" w:ascii="宋体" w:hAnsi="宋体"/>
              </w:rPr>
              <w:t>地址：</w:t>
            </w:r>
          </w:p>
          <w:p>
            <w:pPr>
              <w:autoSpaceDE w:val="0"/>
              <w:autoSpaceDN w:val="0"/>
              <w:adjustRightInd w:val="0"/>
              <w:snapToGrid w:val="0"/>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6" w:type="dxa"/>
            <w:noWrap w:val="0"/>
            <w:vAlign w:val="center"/>
          </w:tcPr>
          <w:p>
            <w:pPr>
              <w:autoSpaceDE w:val="0"/>
              <w:autoSpaceDN w:val="0"/>
              <w:adjustRightInd w:val="0"/>
              <w:snapToGrid w:val="0"/>
              <w:rPr>
                <w:rFonts w:hint="eastAsia" w:ascii="宋体" w:hAnsi="宋体"/>
                <w:snapToGrid w:val="0"/>
                <w:kern w:val="0"/>
              </w:rPr>
            </w:pPr>
            <w:r>
              <w:rPr>
                <w:rFonts w:hint="eastAsia" w:ascii="宋体" w:hAnsi="宋体"/>
                <w:snapToGrid w:val="0"/>
                <w:kern w:val="0"/>
              </w:rPr>
              <w:t>项目联系人：</w:t>
            </w:r>
          </w:p>
        </w:tc>
        <w:tc>
          <w:tcPr>
            <w:tcW w:w="3402" w:type="dxa"/>
            <w:noWrap w:val="0"/>
            <w:vAlign w:val="center"/>
          </w:tcPr>
          <w:p>
            <w:pPr>
              <w:autoSpaceDE w:val="0"/>
              <w:autoSpaceDN w:val="0"/>
              <w:adjustRightInd w:val="0"/>
              <w:snapToGrid w:val="0"/>
              <w:rPr>
                <w:rFonts w:hint="eastAsia" w:ascii="宋体" w:hAnsi="宋体"/>
                <w:snapToGrid w:val="0"/>
                <w:kern w:val="0"/>
              </w:rPr>
            </w:pPr>
          </w:p>
        </w:tc>
        <w:tc>
          <w:tcPr>
            <w:tcW w:w="3686" w:type="dxa"/>
            <w:noWrap w:val="0"/>
            <w:vAlign w:val="center"/>
          </w:tcPr>
          <w:p>
            <w:pPr>
              <w:autoSpaceDE w:val="0"/>
              <w:autoSpaceDN w:val="0"/>
              <w:adjustRightInd w:val="0"/>
              <w:snapToGrid w:val="0"/>
              <w:rPr>
                <w:rFonts w:hint="eastAsia" w:ascii="宋体" w:hAnsi="宋体"/>
              </w:rPr>
            </w:pPr>
            <w:r>
              <w:rPr>
                <w:rFonts w:hint="eastAsia" w:ascii="宋体" w:hAnsi="宋体"/>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6" w:type="dxa"/>
            <w:noWrap w:val="0"/>
            <w:vAlign w:val="center"/>
          </w:tcPr>
          <w:p>
            <w:pPr>
              <w:autoSpaceDE w:val="0"/>
              <w:autoSpaceDN w:val="0"/>
              <w:adjustRightInd w:val="0"/>
              <w:snapToGrid w:val="0"/>
              <w:rPr>
                <w:rFonts w:hint="eastAsia" w:ascii="宋体" w:hAnsi="宋体"/>
                <w:snapToGrid w:val="0"/>
                <w:kern w:val="0"/>
              </w:rPr>
            </w:pPr>
            <w:r>
              <w:rPr>
                <w:rFonts w:hint="eastAsia" w:ascii="宋体" w:hAnsi="宋体"/>
                <w:snapToGrid w:val="0"/>
                <w:kern w:val="0"/>
              </w:rPr>
              <w:t>办公电话：</w:t>
            </w:r>
          </w:p>
        </w:tc>
        <w:tc>
          <w:tcPr>
            <w:tcW w:w="3402" w:type="dxa"/>
            <w:noWrap w:val="0"/>
            <w:vAlign w:val="center"/>
          </w:tcPr>
          <w:p>
            <w:pPr>
              <w:autoSpaceDE w:val="0"/>
              <w:autoSpaceDN w:val="0"/>
              <w:adjustRightInd w:val="0"/>
              <w:snapToGrid w:val="0"/>
              <w:rPr>
                <w:rFonts w:hint="eastAsia" w:ascii="宋体" w:hAnsi="宋体"/>
                <w:snapToGrid w:val="0"/>
                <w:kern w:val="0"/>
              </w:rPr>
            </w:pPr>
          </w:p>
        </w:tc>
        <w:tc>
          <w:tcPr>
            <w:tcW w:w="3686" w:type="dxa"/>
            <w:noWrap w:val="0"/>
            <w:vAlign w:val="center"/>
          </w:tcPr>
          <w:p>
            <w:pPr>
              <w:autoSpaceDE w:val="0"/>
              <w:autoSpaceDN w:val="0"/>
              <w:adjustRightInd w:val="0"/>
              <w:snapToGrid w:val="0"/>
              <w:rPr>
                <w:rFonts w:hint="eastAsia" w:ascii="宋体" w:hAnsi="宋体"/>
                <w:snapToGrid w:val="0"/>
                <w:kern w:val="0"/>
              </w:rPr>
            </w:pPr>
            <w:r>
              <w:rPr>
                <w:rFonts w:hint="eastAsia" w:ascii="宋体" w:hAnsi="宋体"/>
                <w:snapToGrid w:val="0"/>
                <w:kern w:val="0"/>
              </w:rPr>
              <w:t>办公电话：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86" w:type="dxa"/>
            <w:noWrap w:val="0"/>
            <w:vAlign w:val="center"/>
          </w:tcPr>
          <w:p>
            <w:pPr>
              <w:autoSpaceDE w:val="0"/>
              <w:autoSpaceDN w:val="0"/>
              <w:adjustRightInd w:val="0"/>
              <w:snapToGrid w:val="0"/>
              <w:rPr>
                <w:rFonts w:hint="eastAsia" w:ascii="宋体" w:hAnsi="宋体"/>
                <w:snapToGrid w:val="0"/>
                <w:kern w:val="0"/>
              </w:rPr>
            </w:pPr>
            <w:r>
              <w:rPr>
                <w:rFonts w:hint="eastAsia" w:ascii="宋体" w:hAnsi="宋体"/>
                <w:snapToGrid w:val="0"/>
                <w:kern w:val="0"/>
              </w:rPr>
              <w:t>办公传真：</w:t>
            </w:r>
          </w:p>
        </w:tc>
        <w:tc>
          <w:tcPr>
            <w:tcW w:w="3402" w:type="dxa"/>
            <w:noWrap w:val="0"/>
            <w:vAlign w:val="center"/>
          </w:tcPr>
          <w:p>
            <w:pPr>
              <w:autoSpaceDE w:val="0"/>
              <w:autoSpaceDN w:val="0"/>
              <w:adjustRightInd w:val="0"/>
              <w:snapToGrid w:val="0"/>
              <w:rPr>
                <w:rFonts w:hint="eastAsia" w:ascii="宋体" w:hAnsi="宋体" w:eastAsia="宋体"/>
                <w:snapToGrid w:val="0"/>
                <w:kern w:val="0"/>
                <w:lang w:eastAsia="zh-CN"/>
              </w:rPr>
            </w:pPr>
          </w:p>
        </w:tc>
        <w:tc>
          <w:tcPr>
            <w:tcW w:w="3686" w:type="dxa"/>
            <w:noWrap w:val="0"/>
            <w:vAlign w:val="center"/>
          </w:tcPr>
          <w:p>
            <w:pPr>
              <w:autoSpaceDE w:val="0"/>
              <w:autoSpaceDN w:val="0"/>
              <w:adjustRightInd w:val="0"/>
              <w:snapToGrid w:val="0"/>
              <w:rPr>
                <w:rFonts w:hint="eastAsia" w:ascii="宋体" w:hAnsi="宋体"/>
                <w:snapToGrid w:val="0"/>
                <w:kern w:val="0"/>
              </w:rPr>
            </w:pPr>
            <w:r>
              <w:rPr>
                <w:rFonts w:hint="eastAsia" w:ascii="宋体" w:hAnsi="宋体"/>
                <w:snapToGrid w:val="0"/>
                <w:kern w:val="0"/>
              </w:rPr>
              <w:t>办公传真：</w:t>
            </w:r>
          </w:p>
        </w:tc>
      </w:tr>
    </w:tbl>
    <w:p>
      <w:pPr>
        <w:jc w:val="center"/>
        <w:rPr>
          <w:rFonts w:hint="eastAsia"/>
        </w:rPr>
      </w:pPr>
      <w:r>
        <w:rPr>
          <w:rFonts w:hint="eastAsia"/>
          <w:snapToGrid w:val="0"/>
          <w:kern w:val="0"/>
        </w:rPr>
        <w:t>【合同正文】</w:t>
      </w:r>
    </w:p>
    <w:p>
      <w:pPr>
        <w:pStyle w:val="3"/>
        <w:tabs>
          <w:tab w:val="left" w:pos="426"/>
          <w:tab w:val="clear" w:pos="720"/>
          <w:tab w:val="clear" w:pos="1440"/>
        </w:tabs>
        <w:rPr>
          <w:rFonts w:hint="eastAsia"/>
        </w:rPr>
      </w:pPr>
      <w:r>
        <w:rPr>
          <w:rFonts w:hint="eastAsia"/>
        </w:rPr>
        <w:t>产品</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7"/>
        <w:gridCol w:w="1478"/>
        <w:gridCol w:w="926"/>
        <w:gridCol w:w="803"/>
        <w:gridCol w:w="663"/>
        <w:gridCol w:w="733"/>
        <w:gridCol w:w="2454"/>
        <w:gridCol w:w="10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硬件设备报价清单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序号</w:t>
            </w:r>
          </w:p>
        </w:tc>
        <w:tc>
          <w:tcPr>
            <w:tcW w:w="867"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产品名称</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型号</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品牌</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数量</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单位</w:t>
            </w:r>
          </w:p>
        </w:tc>
        <w:tc>
          <w:tcPr>
            <w:tcW w:w="1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设备参数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机动车道：2进2出+车牌识别+直杆道闸；出口ETC扣费（其中一个进口是双向通道，可进可出）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0" w:hRule="atLeast"/>
        </w:trPr>
        <w:tc>
          <w:tcPr>
            <w:tcW w:w="26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车牌识别显示一体机</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FM-CS800</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1433195</wp:posOffset>
                  </wp:positionH>
                  <wp:positionV relativeFrom="paragraph">
                    <wp:posOffset>381635</wp:posOffset>
                  </wp:positionV>
                  <wp:extent cx="480695" cy="1772285"/>
                  <wp:effectExtent l="0" t="0" r="15240" b="18415"/>
                  <wp:wrapNone/>
                  <wp:docPr id="5" name="图片_695"/>
                  <wp:cNvGraphicFramePr/>
                  <a:graphic xmlns:a="http://schemas.openxmlformats.org/drawingml/2006/main">
                    <a:graphicData uri="http://schemas.openxmlformats.org/drawingml/2006/picture">
                      <pic:pic xmlns:pic="http://schemas.openxmlformats.org/drawingml/2006/picture">
                        <pic:nvPicPr>
                          <pic:cNvPr id="5" name="图片_695"/>
                          <pic:cNvPicPr/>
                        </pic:nvPicPr>
                        <pic:blipFill>
                          <a:blip r:embed="rId7"/>
                          <a:stretch>
                            <a:fillRect/>
                          </a:stretch>
                        </pic:blipFill>
                        <pic:spPr>
                          <a:xfrm>
                            <a:off x="0" y="0"/>
                            <a:ext cx="480695" cy="1772285"/>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lang w:val="en-US" w:eastAsia="zh-CN" w:bidi="ar"/>
              </w:rPr>
              <w:t>1、300万高清摄像机运动目标检测， 高清网络，强光抑制、内置车牌号识别算法、开闸信号，可传送白名单；</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2、可驱动语音，可驱动显示屏，可输出各种开闸信号；</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3、定制外壳防潮，防水；</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4、采用进口灯珠  黄白混合光源 夜间让车牌号清晰；</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5、可设置固定时间；</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6、含语音卡喇叭，自定义语音播报   显示车辆进入时间、车牌号、车种类;</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7、四行高亮度（全彩）LED屏中英文双显，室外防水，强光下可见</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26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ETC读卡天线</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1、ETC无感支付；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2、双模识别校验。</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4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外形尺寸：270*220*63(mm)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重量：约2kg（不含支架）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外壳材料：ABS+PC 工程塑料及铝合金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电源输入：12-24V DC 电源输入（支持选配件 220V/AC 输入）,三线防水接头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防护等级：IP65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工作温度:-40℃～+85℃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防雷:抗 4kV 10/200μs 雷击</w:t>
            </w:r>
          </w:p>
        </w:tc>
        <w:tc>
          <w:tcPr>
            <w:tcW w:w="5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121285</wp:posOffset>
                  </wp:positionH>
                  <wp:positionV relativeFrom="paragraph">
                    <wp:posOffset>271145</wp:posOffset>
                  </wp:positionV>
                  <wp:extent cx="328930" cy="1456055"/>
                  <wp:effectExtent l="0" t="0" r="13970" b="10795"/>
                  <wp:wrapNone/>
                  <wp:docPr id="2" name="图片_699"/>
                  <wp:cNvGraphicFramePr/>
                  <a:graphic xmlns:a="http://schemas.openxmlformats.org/drawingml/2006/main">
                    <a:graphicData uri="http://schemas.openxmlformats.org/drawingml/2006/picture">
                      <pic:pic xmlns:pic="http://schemas.openxmlformats.org/drawingml/2006/picture">
                        <pic:nvPicPr>
                          <pic:cNvPr id="2" name="图片_699"/>
                          <pic:cNvPicPr/>
                        </pic:nvPicPr>
                        <pic:blipFill>
                          <a:blip r:embed="rId8"/>
                          <a:stretch>
                            <a:fillRect/>
                          </a:stretch>
                        </pic:blipFill>
                        <pic:spPr>
                          <a:xfrm>
                            <a:off x="0" y="0"/>
                            <a:ext cx="328930" cy="145605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26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摄像机伸缩立柱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(B款含组件) </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BGD-G18*14-16L</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根</w:t>
            </w:r>
          </w:p>
        </w:tc>
        <w:tc>
          <w:tcPr>
            <w:tcW w:w="1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0" w:hRule="atLeast"/>
        </w:trPr>
        <w:tc>
          <w:tcPr>
            <w:tcW w:w="26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6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扫码一体机</w:t>
            </w:r>
          </w:p>
        </w:tc>
        <w:tc>
          <w:tcPr>
            <w:tcW w:w="54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1、含喇叭、显示屏、按钮，电源等配件,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2、出口实现自助扫描（主动和被动）、对讲呼叫；</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3、含LCD屏，可播放广告等信息</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93345</wp:posOffset>
                  </wp:positionH>
                  <wp:positionV relativeFrom="paragraph">
                    <wp:posOffset>-3810</wp:posOffset>
                  </wp:positionV>
                  <wp:extent cx="313690" cy="1605280"/>
                  <wp:effectExtent l="0" t="0" r="0" b="0"/>
                  <wp:wrapNone/>
                  <wp:docPr id="3" name="图片_2"/>
                  <wp:cNvGraphicFramePr/>
                  <a:graphic xmlns:a="http://schemas.openxmlformats.org/drawingml/2006/main">
                    <a:graphicData uri="http://schemas.openxmlformats.org/drawingml/2006/picture">
                      <pic:pic xmlns:pic="http://schemas.openxmlformats.org/drawingml/2006/picture">
                        <pic:nvPicPr>
                          <pic:cNvPr id="3" name="图片_2"/>
                          <pic:cNvPicPr/>
                        </pic:nvPicPr>
                        <pic:blipFill>
                          <a:blip r:embed="rId9"/>
                          <a:stretch>
                            <a:fillRect/>
                          </a:stretch>
                        </pic:blipFill>
                        <pic:spPr>
                          <a:xfrm>
                            <a:off x="0" y="0"/>
                            <a:ext cx="313690" cy="160528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0" w:hRule="atLeast"/>
        </w:trPr>
        <w:tc>
          <w:tcPr>
            <w:tcW w:w="26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道闸</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CS06-K9</w:t>
            </w:r>
          </w:p>
        </w:tc>
        <w:tc>
          <w:tcPr>
            <w:tcW w:w="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w:t>
            </w:r>
          </w:p>
        </w:tc>
        <w:tc>
          <w:tcPr>
            <w:tcW w:w="1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自动道闸机：直流无刷高速变频道闸，起落更平稳；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规格：长33 cm*宽24cm *高98 cm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调速0.8-2.5秒，  直杆长1-6米可选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学习码遥控器，标配2台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箱体颜色：橘红色、黄色、浅灰色可选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杆子颜色：红白色、黄黑色可选</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-29845</wp:posOffset>
                  </wp:positionH>
                  <wp:positionV relativeFrom="paragraph">
                    <wp:posOffset>861695</wp:posOffset>
                  </wp:positionV>
                  <wp:extent cx="1350010" cy="613410"/>
                  <wp:effectExtent l="0" t="0" r="2540" b="15240"/>
                  <wp:wrapNone/>
                  <wp:docPr id="4" name="图片_2_SpCnt_1"/>
                  <wp:cNvGraphicFramePr/>
                  <a:graphic xmlns:a="http://schemas.openxmlformats.org/drawingml/2006/main">
                    <a:graphicData uri="http://schemas.openxmlformats.org/drawingml/2006/picture">
                      <pic:pic xmlns:pic="http://schemas.openxmlformats.org/drawingml/2006/picture">
                        <pic:nvPicPr>
                          <pic:cNvPr id="4" name="图片_2_SpCnt_1"/>
                          <pic:cNvPicPr/>
                        </pic:nvPicPr>
                        <pic:blipFill>
                          <a:blip r:embed="rId10"/>
                          <a:stretch>
                            <a:fillRect/>
                          </a:stretch>
                        </pic:blipFill>
                        <pic:spPr>
                          <a:xfrm>
                            <a:off x="0" y="0"/>
                            <a:ext cx="1350010" cy="61341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26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雷达</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DZLD-001</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1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道闸雷达；自动落杆及防砸车之用；</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29845</wp:posOffset>
                  </wp:positionH>
                  <wp:positionV relativeFrom="paragraph">
                    <wp:posOffset>118745</wp:posOffset>
                  </wp:positionV>
                  <wp:extent cx="465455" cy="498475"/>
                  <wp:effectExtent l="0" t="0" r="10795" b="15875"/>
                  <wp:wrapNone/>
                  <wp:docPr id="6" name="图片_701"/>
                  <wp:cNvGraphicFramePr/>
                  <a:graphic xmlns:a="http://schemas.openxmlformats.org/drawingml/2006/main">
                    <a:graphicData uri="http://schemas.openxmlformats.org/drawingml/2006/picture">
                      <pic:pic xmlns:pic="http://schemas.openxmlformats.org/drawingml/2006/picture">
                        <pic:nvPicPr>
                          <pic:cNvPr id="6" name="图片_701"/>
                          <pic:cNvPicPr/>
                        </pic:nvPicPr>
                        <pic:blipFill>
                          <a:blip r:embed="rId11"/>
                          <a:stretch>
                            <a:fillRect/>
                          </a:stretch>
                        </pic:blipFill>
                        <pic:spPr>
                          <a:xfrm>
                            <a:off x="0" y="0"/>
                            <a:ext cx="465455" cy="4984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26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停车场管理软件</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JLVY6.0</w:t>
            </w:r>
          </w:p>
        </w:tc>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14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2"/>
                <w:lang w:val="en-US" w:eastAsia="zh-CN" w:bidi="ar"/>
              </w:rPr>
              <w:t>车辆比对、收费，显示进出口图片、入场时间，计算停留时间及费用，收费；</w:t>
            </w:r>
            <w:r>
              <w:rPr>
                <w:rStyle w:val="14"/>
                <w:lang w:val="en-US" w:eastAsia="zh-CN" w:bidi="ar"/>
              </w:rPr>
              <w:t>可免费升级做扫码支付；使用现场必须连外网，</w:t>
            </w:r>
            <w:r>
              <w:rPr>
                <w:rStyle w:val="11"/>
                <w:lang w:val="en-US" w:eastAsia="zh-CN" w:bidi="ar"/>
              </w:rPr>
              <w:br w:type="textWrapping"/>
            </w:r>
            <w:r>
              <w:rPr>
                <w:rStyle w:val="11"/>
                <w:lang w:val="en-US" w:eastAsia="zh-CN" w:bidi="ar"/>
              </w:rPr>
              <w:t xml:space="preserve"> </w:t>
            </w:r>
            <w:r>
              <w:rPr>
                <w:rStyle w:val="13"/>
                <w:lang w:val="en-US" w:eastAsia="zh-CN" w:bidi="ar"/>
              </w:rPr>
              <w:t>含车牌识别加密狗</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bl>
    <w:p>
      <w:pPr>
        <w:rPr>
          <w:rFonts w:hint="eastAsia"/>
          <w:lang w:val="en-GB"/>
        </w:rPr>
      </w:pPr>
    </w:p>
    <w:p>
      <w:pPr>
        <w:pStyle w:val="2"/>
        <w:rPr>
          <w:rFonts w:hint="eastAsia"/>
          <w:lang w:val="en-GB"/>
        </w:rPr>
      </w:pPr>
    </w:p>
    <w:p>
      <w:pPr>
        <w:pStyle w:val="2"/>
        <w:rPr>
          <w:rFonts w:hint="eastAsia"/>
          <w:lang w:val="en-GB"/>
        </w:rPr>
      </w:pPr>
    </w:p>
    <w:p>
      <w:pPr>
        <w:pStyle w:val="3"/>
        <w:tabs>
          <w:tab w:val="left" w:pos="426"/>
          <w:tab w:val="clear" w:pos="720"/>
        </w:tabs>
        <w:ind w:left="432" w:hanging="432"/>
        <w:rPr>
          <w:rFonts w:hint="eastAsia"/>
        </w:rPr>
      </w:pPr>
      <w:r>
        <w:rPr>
          <w:rFonts w:hint="eastAsia"/>
        </w:rPr>
        <w:t>交货及到货验收</w:t>
      </w:r>
    </w:p>
    <w:p>
      <w:pPr>
        <w:spacing w:line="360" w:lineRule="auto"/>
        <w:rPr>
          <w:rFonts w:hint="eastAsia" w:ascii="宋体" w:hAnsi="宋体"/>
        </w:rPr>
      </w:pPr>
      <w:r>
        <w:rPr>
          <w:rFonts w:hint="eastAsia" w:ascii="宋体" w:hAnsi="宋体"/>
        </w:rPr>
        <w:t>2.1.交付时间：</w:t>
      </w:r>
      <w:bookmarkStart w:id="0" w:name="OLE_LINK2"/>
      <w:r>
        <w:rPr>
          <w:rFonts w:hint="eastAsia" w:ascii="宋体" w:hAnsi="宋体"/>
        </w:rPr>
        <w:t>签订合同</w:t>
      </w:r>
      <w:r>
        <w:rPr>
          <w:rFonts w:hint="eastAsia" w:ascii="宋体" w:hAnsi="宋体"/>
          <w:lang w:val="en-US" w:eastAsia="zh-CN"/>
        </w:rPr>
        <w:t>且收到预付款后</w:t>
      </w:r>
      <w:r>
        <w:rPr>
          <w:rFonts w:hint="eastAsia" w:ascii="宋体" w:hAnsi="宋体"/>
          <w:u w:val="single"/>
        </w:rPr>
        <w:t xml:space="preserve"> </w:t>
      </w:r>
      <w:r>
        <w:rPr>
          <w:rFonts w:ascii="宋体" w:hAnsi="宋体"/>
          <w:u w:val="single"/>
        </w:rPr>
        <w:t xml:space="preserve">   </w:t>
      </w:r>
      <w:r>
        <w:rPr>
          <w:rFonts w:hint="eastAsia" w:ascii="宋体" w:hAnsi="宋体"/>
          <w:u w:val="single"/>
          <w:lang w:val="en-US" w:eastAsia="zh-CN"/>
        </w:rPr>
        <w:t>15</w:t>
      </w:r>
      <w:r>
        <w:rPr>
          <w:rFonts w:hint="eastAsia" w:ascii="宋体" w:hAnsi="宋体"/>
          <w:u w:val="single"/>
          <w:lang w:eastAsia="zh-CN"/>
        </w:rPr>
        <w:t>个工作日</w:t>
      </w:r>
      <w:r>
        <w:rPr>
          <w:rFonts w:hint="eastAsia" w:ascii="宋体" w:hAnsi="宋体"/>
          <w:u w:val="single"/>
          <w:lang w:val="en-US" w:eastAsia="zh-CN"/>
        </w:rPr>
        <w:t xml:space="preserve">   </w:t>
      </w:r>
      <w:r>
        <w:rPr>
          <w:rFonts w:hint="eastAsia" w:ascii="宋体" w:hAnsi="宋体"/>
        </w:rPr>
        <w:t>完成交付货物</w:t>
      </w:r>
      <w:bookmarkEnd w:id="0"/>
      <w:r>
        <w:rPr>
          <w:rFonts w:hint="eastAsia" w:ascii="宋体" w:hAnsi="宋体"/>
        </w:rPr>
        <w:t>。</w:t>
      </w:r>
    </w:p>
    <w:p>
      <w:pPr>
        <w:spacing w:line="360" w:lineRule="auto"/>
        <w:rPr>
          <w:rFonts w:ascii="宋体" w:hAnsi="宋体"/>
        </w:rPr>
      </w:pPr>
      <w:r>
        <w:rPr>
          <w:rFonts w:hint="eastAsia" w:ascii="宋体" w:hAnsi="宋体"/>
        </w:rPr>
        <w:t>2.2.交付地点：乙方负责将产品运送至</w:t>
      </w:r>
      <w:r>
        <w:rPr>
          <w:rFonts w:hint="eastAsia" w:ascii="宋体" w:hAnsi="宋体"/>
          <w:color w:val="auto"/>
          <w:u w:val="single"/>
          <w:lang w:val="en-US" w:eastAsia="zh-CN"/>
        </w:rPr>
        <w:t xml:space="preserve"> 甲方指定地点   </w:t>
      </w:r>
      <w:r>
        <w:rPr>
          <w:rFonts w:hint="eastAsia" w:ascii="宋体" w:hAnsi="宋体"/>
        </w:rPr>
        <w:t>，运费由</w:t>
      </w:r>
      <w:r>
        <w:rPr>
          <w:rFonts w:hint="eastAsia" w:ascii="宋体" w:hAnsi="宋体"/>
          <w:u w:val="single"/>
        </w:rPr>
        <w:t>乙</w:t>
      </w:r>
      <w:r>
        <w:rPr>
          <w:rFonts w:hint="eastAsia" w:ascii="宋体" w:hAnsi="宋体"/>
        </w:rPr>
        <w:t>方负担；并远程协助安装调试到能正常使用（以电话、传真、电邮、微信等方式）</w:t>
      </w:r>
    </w:p>
    <w:p>
      <w:pPr>
        <w:spacing w:line="360" w:lineRule="auto"/>
        <w:rPr>
          <w:rFonts w:hint="eastAsia" w:ascii="宋体" w:hAnsi="宋体"/>
        </w:rPr>
      </w:pPr>
      <w:r>
        <w:rPr>
          <w:rFonts w:hint="eastAsia" w:ascii="宋体" w:hAnsi="宋体"/>
        </w:rPr>
        <w:t>2.3.接收货单位（人）及联系方式：</w:t>
      </w:r>
      <w:r>
        <w:rPr>
          <w:rFonts w:ascii="宋体" w:hAnsi="宋体"/>
          <w:snapToGrid w:val="0"/>
          <w:kern w:val="0"/>
          <w:u w:val="single"/>
        </w:rPr>
        <w:t xml:space="preserve">  </w:t>
      </w:r>
      <w:r>
        <w:rPr>
          <w:rFonts w:hint="eastAsia" w:ascii="宋体" w:hAnsi="宋体"/>
          <w:snapToGrid w:val="0"/>
          <w:kern w:val="0"/>
          <w:u w:val="single"/>
          <w:lang w:val="en-US" w:eastAsia="zh-CN"/>
        </w:rPr>
        <w:t xml:space="preserve">       </w:t>
      </w:r>
      <w:r>
        <w:rPr>
          <w:rFonts w:ascii="宋体" w:hAnsi="宋体"/>
          <w:snapToGrid w:val="0"/>
          <w:kern w:val="0"/>
          <w:u w:val="single"/>
        </w:rPr>
        <w:t xml:space="preserve">  </w:t>
      </w:r>
      <w:r>
        <w:rPr>
          <w:rFonts w:hint="eastAsia" w:ascii="宋体" w:hAnsi="宋体"/>
          <w:u w:val="single"/>
        </w:rPr>
        <w:t xml:space="preserve"> </w:t>
      </w:r>
      <w:r>
        <w:rPr>
          <w:rFonts w:hint="eastAsia" w:ascii="宋体" w:hAnsi="宋体"/>
        </w:rPr>
        <w:t xml:space="preserve"> 。接收单位或接收人在签收产品时应当盖章或签字，接收人仅凭签字签收产品的，应提供有效身份证明和合法有效的授权书供乙方或承运人核对接收人的身份。交付产品时，用户或其指定的代表应在产品交付地点开箱检查产品品牌、原厂商、产地、规格型号、数量是否与本合同或装箱单等文件相符，相符后，签署到货验收合格证书。若用户或其指定代表验收后既不提出异议又不签署到货验收合格证书，则自动视为产品已交付并到货验收合格。</w:t>
      </w:r>
    </w:p>
    <w:p>
      <w:pPr>
        <w:spacing w:line="360" w:lineRule="auto"/>
        <w:rPr>
          <w:rFonts w:hint="eastAsia" w:ascii="宋体" w:hAnsi="宋体"/>
        </w:rPr>
      </w:pPr>
      <w:r>
        <w:rPr>
          <w:rFonts w:hint="eastAsia" w:ascii="宋体" w:hAnsi="宋体"/>
        </w:rPr>
        <w:t>2.4.所有权：乙方应保证所提供的设备不侵犯第三方的专利权、商标权、著作权或其他知识产权。若乙方的行为侵犯了第三方的前述权利，并造成了第三方追究甲方的责任，甲方为此所受到的损失，应由乙方承担。产品所有权(不包括知识产权)自产品验收合格后转移至甲方。</w:t>
      </w:r>
    </w:p>
    <w:p>
      <w:pPr>
        <w:pStyle w:val="3"/>
        <w:tabs>
          <w:tab w:val="left" w:pos="284"/>
          <w:tab w:val="clear" w:pos="720"/>
        </w:tabs>
        <w:rPr>
          <w:rFonts w:hint="eastAsia"/>
        </w:rPr>
      </w:pPr>
      <w:r>
        <w:rPr>
          <w:rFonts w:hint="eastAsia"/>
        </w:rPr>
        <w:t>价格和付款方式</w:t>
      </w:r>
    </w:p>
    <w:p>
      <w:pPr>
        <w:spacing w:line="360" w:lineRule="auto"/>
        <w:ind w:right="-334"/>
        <w:rPr>
          <w:rFonts w:hint="default" w:ascii="宋体" w:hAnsi="宋体" w:eastAsia="宋体"/>
          <w:u w:val="single"/>
          <w:lang w:val="en-US" w:eastAsia="zh-CN"/>
        </w:rPr>
      </w:pPr>
      <w:r>
        <w:rPr>
          <w:rFonts w:hint="eastAsia" w:ascii="宋体" w:hAnsi="宋体"/>
        </w:rPr>
        <w:t>3.1.合同总价：</w:t>
      </w:r>
      <w:r>
        <w:rPr>
          <w:rFonts w:hint="eastAsia" w:ascii="宋体" w:hAnsi="宋体" w:cs="宋体"/>
          <w:bCs/>
          <w:color w:val="000000"/>
          <w:kern w:val="0"/>
          <w:szCs w:val="21"/>
          <w:u w:val="single"/>
        </w:rPr>
        <w:t xml:space="preserve"> </w:t>
      </w:r>
      <w:r>
        <w:rPr>
          <w:rFonts w:hint="eastAsia" w:ascii="宋体" w:hAnsi="宋体" w:cs="宋体"/>
          <w:bCs/>
          <w:color w:val="000000"/>
          <w:kern w:val="0"/>
          <w:szCs w:val="21"/>
          <w:u w:val="single"/>
          <w:lang w:val="en-US" w:eastAsia="zh-CN"/>
        </w:rPr>
        <w:t xml:space="preserve">                 </w:t>
      </w:r>
    </w:p>
    <w:p>
      <w:pPr>
        <w:spacing w:line="360" w:lineRule="auto"/>
        <w:ind w:left="630" w:right="-334" w:hanging="720" w:hangingChars="300"/>
        <w:rPr>
          <w:rFonts w:hint="eastAsia" w:ascii="宋体" w:hAnsi="宋体"/>
        </w:rPr>
      </w:pPr>
      <w:r>
        <w:rPr>
          <w:rFonts w:hint="eastAsia" w:ascii="宋体" w:hAnsi="宋体"/>
        </w:rPr>
        <w:t>3.2付款方式：</w:t>
      </w:r>
    </w:p>
    <w:p>
      <w:pPr>
        <w:spacing w:line="360" w:lineRule="auto"/>
        <w:ind w:right="-334"/>
        <w:rPr>
          <w:rFonts w:hint="eastAsia" w:ascii="宋体" w:hAnsi="宋体"/>
          <w:szCs w:val="21"/>
        </w:rPr>
      </w:pPr>
      <w:r>
        <w:rPr>
          <w:rFonts w:hint="eastAsia" w:ascii="宋体" w:hAnsi="宋体" w:eastAsia="宋体" w:cs="Times New Roman"/>
          <w:sz w:val="21"/>
          <w:szCs w:val="20"/>
          <w:lang w:val="en-US" w:eastAsia="zh-CN"/>
        </w:rPr>
        <w:t xml:space="preserve">    </w:t>
      </w:r>
      <w:r>
        <w:rPr>
          <w:rFonts w:hint="eastAsia" w:ascii="宋体" w:hAnsi="宋体" w:eastAsia="宋体" w:cs="Times New Roman"/>
          <w:sz w:val="21"/>
          <w:szCs w:val="20"/>
        </w:rPr>
        <w:t>设备安装完成后10 日内甲方支付乙方合同总价的9</w:t>
      </w:r>
      <w:r>
        <w:rPr>
          <w:rFonts w:hint="eastAsia" w:ascii="宋体" w:hAnsi="宋体" w:cs="Times New Roman"/>
          <w:sz w:val="21"/>
          <w:szCs w:val="20"/>
          <w:lang w:val="en-US" w:eastAsia="zh-CN"/>
        </w:rPr>
        <w:t>0</w:t>
      </w:r>
      <w:r>
        <w:rPr>
          <w:rFonts w:hint="eastAsia" w:ascii="宋体" w:hAnsi="宋体" w:eastAsia="宋体" w:cs="Times New Roman"/>
          <w:sz w:val="21"/>
          <w:szCs w:val="20"/>
        </w:rPr>
        <w:t>%，</w:t>
      </w:r>
      <w:r>
        <w:rPr>
          <w:rFonts w:hint="eastAsia" w:ascii="宋体" w:hAnsi="宋体" w:cs="Times New Roman"/>
          <w:sz w:val="21"/>
          <w:szCs w:val="20"/>
          <w:lang w:val="en-US" w:eastAsia="zh-CN"/>
        </w:rPr>
        <w:t>安装调试完成</w:t>
      </w:r>
      <w:r>
        <w:rPr>
          <w:rFonts w:hint="eastAsia" w:ascii="宋体" w:hAnsi="宋体" w:eastAsia="宋体" w:cs="Times New Roman"/>
          <w:sz w:val="21"/>
          <w:szCs w:val="20"/>
        </w:rPr>
        <w:t>支付剩余</w:t>
      </w:r>
      <w:r>
        <w:rPr>
          <w:rFonts w:hint="eastAsia" w:ascii="宋体" w:hAnsi="宋体" w:cs="Times New Roman"/>
          <w:sz w:val="21"/>
          <w:szCs w:val="20"/>
          <w:lang w:val="en-US" w:eastAsia="zh-CN"/>
        </w:rPr>
        <w:t>10</w:t>
      </w:r>
      <w:r>
        <w:rPr>
          <w:rFonts w:hint="eastAsia" w:ascii="宋体" w:hAnsi="宋体" w:eastAsia="宋体" w:cs="Times New Roman"/>
          <w:sz w:val="21"/>
          <w:szCs w:val="20"/>
        </w:rPr>
        <w:t>%尾款。</w:t>
      </w:r>
      <w:r>
        <w:rPr>
          <w:rFonts w:hint="eastAsia" w:ascii="宋体" w:hAnsi="宋体"/>
          <w:szCs w:val="21"/>
        </w:rPr>
        <w:t xml:space="preserve">   </w:t>
      </w:r>
    </w:p>
    <w:p>
      <w:pPr>
        <w:spacing w:line="360" w:lineRule="auto"/>
        <w:ind w:firstLine="480" w:firstLineChars="200"/>
        <w:rPr>
          <w:rFonts w:hint="eastAsia" w:ascii="宋体" w:hAnsi="宋体"/>
          <w:szCs w:val="21"/>
        </w:rPr>
      </w:pPr>
      <w:r>
        <w:rPr>
          <w:rFonts w:hint="eastAsia" w:ascii="宋体" w:hAnsi="宋体"/>
          <w:szCs w:val="21"/>
        </w:rPr>
        <w:t>发票：乙方收款前开具全额税率为13%的增值税专用发票给甲方，否则甲方有权延期支付。合同履行期间如遇国家政策调整对合同执行造成的影响，甲乙双方以合同不含税金额为基数，按最新政策重新计算含税总金额。</w:t>
      </w:r>
    </w:p>
    <w:p>
      <w:pPr>
        <w:spacing w:line="360" w:lineRule="auto"/>
        <w:ind w:right="-334"/>
        <w:rPr>
          <w:rFonts w:hint="eastAsia" w:ascii="宋体" w:hAnsi="宋体"/>
        </w:rPr>
      </w:pPr>
      <w:r>
        <w:rPr>
          <w:rFonts w:hint="eastAsia" w:ascii="宋体" w:hAnsi="宋体"/>
        </w:rPr>
        <w:t xml:space="preserve">3.4乙方帐户信息：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3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564" w:type="dxa"/>
            <w:noWrap w:val="0"/>
            <w:vAlign w:val="center"/>
          </w:tcPr>
          <w:p>
            <w:pPr>
              <w:ind w:right="-334"/>
              <w:jc w:val="both"/>
              <w:rPr>
                <w:rFonts w:hint="eastAsia" w:ascii="宋体" w:hAnsi="宋体"/>
                <w:szCs w:val="21"/>
              </w:rPr>
            </w:pPr>
            <w:r>
              <w:rPr>
                <w:rFonts w:hint="eastAsia" w:ascii="宋体" w:hAnsi="宋体"/>
                <w:szCs w:val="21"/>
              </w:rPr>
              <w:t>开户单位名称</w:t>
            </w:r>
          </w:p>
        </w:tc>
        <w:tc>
          <w:tcPr>
            <w:tcW w:w="3920" w:type="dxa"/>
            <w:noWrap w:val="0"/>
            <w:vAlign w:val="center"/>
          </w:tcPr>
          <w:p>
            <w:pPr>
              <w:ind w:right="-334"/>
              <w:jc w:val="both"/>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564" w:type="dxa"/>
            <w:noWrap w:val="0"/>
            <w:vAlign w:val="center"/>
          </w:tcPr>
          <w:p>
            <w:pPr>
              <w:ind w:right="-334"/>
              <w:jc w:val="both"/>
              <w:rPr>
                <w:rFonts w:hint="eastAsia" w:ascii="宋体" w:hAnsi="宋体"/>
                <w:szCs w:val="21"/>
              </w:rPr>
            </w:pPr>
            <w:r>
              <w:rPr>
                <w:rFonts w:ascii="宋体" w:hAnsi="宋体"/>
                <w:szCs w:val="21"/>
              </w:rPr>
              <w:t>开户银行</w:t>
            </w:r>
            <w:r>
              <w:rPr>
                <w:rFonts w:hint="eastAsia" w:ascii="宋体" w:hAnsi="宋体"/>
                <w:szCs w:val="21"/>
              </w:rPr>
              <w:t>名称</w:t>
            </w:r>
          </w:p>
        </w:tc>
        <w:tc>
          <w:tcPr>
            <w:tcW w:w="3920" w:type="dxa"/>
            <w:noWrap w:val="0"/>
            <w:vAlign w:val="center"/>
          </w:tcPr>
          <w:p>
            <w:pPr>
              <w:ind w:right="-334"/>
              <w:jc w:val="both"/>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64" w:type="dxa"/>
            <w:noWrap w:val="0"/>
            <w:vAlign w:val="center"/>
          </w:tcPr>
          <w:p>
            <w:pPr>
              <w:ind w:right="-334"/>
              <w:jc w:val="both"/>
              <w:rPr>
                <w:rFonts w:hint="eastAsia" w:ascii="宋体" w:hAnsi="宋体"/>
                <w:szCs w:val="21"/>
              </w:rPr>
            </w:pPr>
            <w:r>
              <w:rPr>
                <w:rFonts w:hint="eastAsia" w:ascii="宋体" w:hAnsi="宋体"/>
                <w:szCs w:val="21"/>
              </w:rPr>
              <w:t>开户银行帐号</w:t>
            </w:r>
          </w:p>
        </w:tc>
        <w:tc>
          <w:tcPr>
            <w:tcW w:w="3920" w:type="dxa"/>
            <w:noWrap w:val="0"/>
            <w:vAlign w:val="center"/>
          </w:tcPr>
          <w:p>
            <w:pPr>
              <w:jc w:val="both"/>
              <w:rPr>
                <w:rFonts w:hint="eastAsia" w:ascii="宋体" w:hAnsi="宋体"/>
                <w:szCs w:val="21"/>
              </w:rPr>
            </w:pPr>
          </w:p>
        </w:tc>
      </w:tr>
    </w:tbl>
    <w:p>
      <w:pPr>
        <w:pStyle w:val="3"/>
        <w:tabs>
          <w:tab w:val="left" w:pos="284"/>
          <w:tab w:val="clear" w:pos="720"/>
        </w:tabs>
        <w:rPr>
          <w:rFonts w:hint="eastAsia"/>
        </w:rPr>
      </w:pPr>
      <w:r>
        <w:rPr>
          <w:rFonts w:hint="eastAsia"/>
        </w:rPr>
        <w:t>质量标准与保修</w:t>
      </w:r>
    </w:p>
    <w:p>
      <w:pPr>
        <w:spacing w:line="360" w:lineRule="auto"/>
        <w:rPr>
          <w:rFonts w:hint="eastAsia" w:ascii="宋体" w:hAnsi="宋体"/>
        </w:rPr>
      </w:pPr>
      <w:r>
        <w:rPr>
          <w:rFonts w:ascii="宋体" w:hAnsi="宋体"/>
        </w:rPr>
        <w:t>4</w:t>
      </w:r>
      <w:r>
        <w:rPr>
          <w:rFonts w:hint="eastAsia" w:ascii="宋体" w:hAnsi="宋体"/>
        </w:rPr>
        <w:t>.1.质量：产品的质量标准以乙方在产品</w:t>
      </w:r>
      <w:r>
        <w:rPr>
          <w:rFonts w:ascii="宋体" w:hAnsi="宋体"/>
        </w:rPr>
        <w:tab/>
      </w:r>
      <w:r>
        <w:rPr>
          <w:rFonts w:hint="eastAsia" w:ascii="宋体" w:hAnsi="宋体"/>
        </w:rPr>
        <w:t>说明书中的规定为准。乙方提供的设备为最新生产的原装正品，各项指标符合出产国检测标准和出厂标准，各项技术参数符合招标文件要求和乙方投标文件承诺。乙方所交产品不符合规定或质量不合格的，由乙方负责包换，并承担换货而支付的一切费用。</w:t>
      </w:r>
    </w:p>
    <w:p>
      <w:pPr>
        <w:spacing w:line="360" w:lineRule="auto"/>
        <w:rPr>
          <w:rFonts w:ascii="宋体" w:hAnsi="宋体"/>
        </w:rPr>
      </w:pPr>
      <w:r>
        <w:rPr>
          <w:rFonts w:ascii="宋体" w:hAnsi="宋体"/>
        </w:rPr>
        <w:t>4</w:t>
      </w:r>
      <w:r>
        <w:rPr>
          <w:rFonts w:hint="eastAsia" w:ascii="宋体" w:hAnsi="宋体"/>
        </w:rPr>
        <w:t>.2.在质保期内，若因</w:t>
      </w:r>
      <w:r>
        <w:rPr>
          <w:rFonts w:ascii="宋体" w:hAnsi="宋体"/>
        </w:rPr>
        <w:t>产品</w:t>
      </w:r>
      <w:r>
        <w:rPr>
          <w:rFonts w:hint="eastAsia" w:ascii="宋体" w:hAnsi="宋体"/>
        </w:rPr>
        <w:t>质量问题</w:t>
      </w:r>
      <w:r>
        <w:rPr>
          <w:rFonts w:ascii="宋体" w:hAnsi="宋体"/>
        </w:rPr>
        <w:t>，</w:t>
      </w:r>
      <w:r>
        <w:rPr>
          <w:rFonts w:hint="eastAsia" w:ascii="宋体" w:hAnsi="宋体"/>
        </w:rPr>
        <w:t>乙方应负责为甲方免费更换或修复损坏的设备，并免费将修好或更换的设备按约定的时间送到甲方指定的交货地点，</w:t>
      </w:r>
      <w:r>
        <w:rPr>
          <w:rFonts w:hint="eastAsia" w:ascii="宋体" w:hAnsi="宋体"/>
          <w:lang w:eastAsia="zh-CN"/>
        </w:rPr>
        <w:t>协助甲方</w:t>
      </w:r>
      <w:r>
        <w:rPr>
          <w:rFonts w:hint="eastAsia" w:ascii="宋体" w:hAnsi="宋体"/>
        </w:rPr>
        <w:t>安装和调试。</w:t>
      </w:r>
    </w:p>
    <w:p>
      <w:pPr>
        <w:spacing w:line="360" w:lineRule="auto"/>
        <w:rPr>
          <w:rFonts w:ascii="宋体" w:hAnsi="宋体"/>
        </w:rPr>
      </w:pPr>
      <w:r>
        <w:rPr>
          <w:rFonts w:ascii="宋体" w:hAnsi="宋体"/>
        </w:rPr>
        <w:t>4.3</w:t>
      </w:r>
      <w:r>
        <w:rPr>
          <w:rFonts w:hint="eastAsia"/>
        </w:rPr>
        <w:t>保修期内若产品出现故障，厂家负责元器件维修或更换（(以邮寄方式，双方各自承担单边运费)，人为损坏、自然灾害或使用不当造成的损失除外</w:t>
      </w:r>
      <w:r>
        <w:rPr>
          <w:rFonts w:ascii="宋体" w:hAnsi="宋体"/>
        </w:rPr>
        <w:t>。</w:t>
      </w:r>
    </w:p>
    <w:p>
      <w:pPr>
        <w:spacing w:line="360" w:lineRule="auto"/>
        <w:rPr>
          <w:rFonts w:hint="eastAsia" w:ascii="宋体" w:hAnsi="宋体"/>
        </w:rPr>
      </w:pPr>
      <w:r>
        <w:rPr>
          <w:rFonts w:hint="eastAsia" w:ascii="宋体" w:hAnsi="宋体"/>
        </w:rPr>
        <w:t>遇系统故障</w:t>
      </w:r>
      <w:r>
        <w:rPr>
          <w:rFonts w:ascii="宋体" w:hAnsi="宋体"/>
        </w:rPr>
        <w:t>供方会</w:t>
      </w:r>
      <w:r>
        <w:rPr>
          <w:rFonts w:hint="eastAsia" w:ascii="宋体" w:hAnsi="宋体"/>
        </w:rPr>
        <w:t>及时响应，提供解决方案，电话支持或者网络远程技术支持，供方售后服务电话：028-68699686、028-68699689</w:t>
      </w:r>
    </w:p>
    <w:p>
      <w:pPr>
        <w:spacing w:line="360" w:lineRule="auto"/>
        <w:rPr>
          <w:rFonts w:hint="eastAsia" w:ascii="宋体" w:hAnsi="宋体" w:eastAsia="宋体" w:cs="Times New Roman"/>
        </w:rPr>
      </w:pPr>
      <w:r>
        <w:rPr>
          <w:rFonts w:ascii="宋体" w:hAnsi="宋体"/>
        </w:rPr>
        <w:t>4</w:t>
      </w:r>
      <w:r>
        <w:rPr>
          <w:rFonts w:hint="eastAsia" w:ascii="宋体" w:hAnsi="宋体"/>
        </w:rPr>
        <w:t>.</w:t>
      </w:r>
      <w:r>
        <w:rPr>
          <w:rFonts w:ascii="宋体" w:hAnsi="宋体"/>
        </w:rPr>
        <w:t>4</w:t>
      </w:r>
      <w:r>
        <w:rPr>
          <w:rFonts w:hint="eastAsia" w:ascii="宋体" w:hAnsi="宋体"/>
        </w:rPr>
        <w:t>.乙方提供设备免费运输</w:t>
      </w:r>
      <w:r>
        <w:rPr>
          <w:rFonts w:hint="eastAsia" w:ascii="宋体" w:hAnsi="宋体"/>
          <w:lang w:eastAsia="zh-CN"/>
        </w:rPr>
        <w:t>（本次）</w:t>
      </w:r>
      <w:r>
        <w:rPr>
          <w:rFonts w:hint="eastAsia" w:ascii="宋体" w:hAnsi="宋体"/>
        </w:rPr>
        <w:t>、安装所</w:t>
      </w:r>
      <w:r>
        <w:rPr>
          <w:rFonts w:hint="eastAsia" w:ascii="宋体" w:hAnsi="宋体"/>
          <w:lang w:eastAsia="zh-CN"/>
        </w:rPr>
        <w:t>需要的</w:t>
      </w:r>
      <w:r>
        <w:rPr>
          <w:rFonts w:hint="eastAsia" w:ascii="宋体" w:hAnsi="宋体"/>
        </w:rPr>
        <w:t>辅助材料和配件</w:t>
      </w:r>
      <w:r>
        <w:rPr>
          <w:rFonts w:hint="eastAsia" w:ascii="宋体" w:hAnsi="宋体" w:eastAsia="宋体" w:cs="Times New Roman"/>
          <w:lang w:eastAsia="zh-CN"/>
        </w:rPr>
        <w:t>，</w:t>
      </w:r>
      <w:r>
        <w:rPr>
          <w:rFonts w:hint="eastAsia" w:ascii="宋体" w:hAnsi="宋体" w:eastAsia="宋体" w:cs="Times New Roman"/>
          <w:sz w:val="21"/>
        </w:rPr>
        <w:t>免费电话、网络指导安装，如需上门服务，</w:t>
      </w:r>
      <w:r>
        <w:rPr>
          <w:rFonts w:hint="eastAsia" w:ascii="宋体" w:hAnsi="宋体" w:eastAsia="宋体" w:cs="Times New Roman"/>
          <w:sz w:val="21"/>
          <w:lang w:eastAsia="zh-CN"/>
        </w:rPr>
        <w:t>甲方需</w:t>
      </w:r>
      <w:r>
        <w:rPr>
          <w:rFonts w:hint="eastAsia" w:ascii="宋体" w:hAnsi="宋体" w:eastAsia="宋体" w:cs="Times New Roman"/>
          <w:sz w:val="21"/>
        </w:rPr>
        <w:t>支付</w:t>
      </w:r>
      <w:r>
        <w:rPr>
          <w:rFonts w:hint="eastAsia" w:ascii="宋体" w:hAnsi="宋体" w:eastAsia="宋体" w:cs="Times New Roman"/>
          <w:sz w:val="21"/>
          <w:lang w:eastAsia="zh-CN"/>
        </w:rPr>
        <w:t>乙</w:t>
      </w:r>
      <w:r>
        <w:rPr>
          <w:rFonts w:hint="eastAsia" w:ascii="宋体" w:hAnsi="宋体" w:eastAsia="宋体" w:cs="Times New Roman"/>
          <w:sz w:val="21"/>
        </w:rPr>
        <w:t>方技术员来回车费、食宿；另按</w:t>
      </w:r>
      <w:r>
        <w:rPr>
          <w:rFonts w:hint="eastAsia" w:ascii="宋体" w:hAnsi="宋体" w:eastAsia="宋体" w:cs="Times New Roman"/>
          <w:sz w:val="21"/>
          <w:lang w:val="en-US" w:eastAsia="zh-CN"/>
        </w:rPr>
        <w:t>500</w:t>
      </w:r>
      <w:r>
        <w:rPr>
          <w:rFonts w:hint="eastAsia" w:ascii="宋体" w:hAnsi="宋体" w:eastAsia="宋体" w:cs="Times New Roman"/>
          <w:sz w:val="21"/>
        </w:rPr>
        <w:t>元/天收取指导费</w:t>
      </w:r>
      <w:r>
        <w:rPr>
          <w:rFonts w:hint="eastAsia" w:ascii="宋体" w:hAnsi="宋体" w:eastAsia="宋体" w:cs="Times New Roman"/>
          <w:lang w:eastAsia="zh-CN"/>
        </w:rPr>
        <w:t>。</w:t>
      </w:r>
    </w:p>
    <w:p>
      <w:pPr>
        <w:spacing w:line="360" w:lineRule="auto"/>
        <w:ind w:left="420" w:hanging="480" w:hangingChars="200"/>
        <w:rPr>
          <w:rFonts w:hint="eastAsia" w:ascii="宋体" w:hAnsi="宋体"/>
        </w:rPr>
      </w:pPr>
      <w:r>
        <w:rPr>
          <w:rFonts w:ascii="宋体" w:hAnsi="宋体"/>
        </w:rPr>
        <w:t>4</w:t>
      </w:r>
      <w:r>
        <w:rPr>
          <w:rFonts w:hint="eastAsia" w:ascii="宋体" w:hAnsi="宋体"/>
        </w:rPr>
        <w:t>.</w:t>
      </w:r>
      <w:r>
        <w:rPr>
          <w:rFonts w:ascii="宋体" w:hAnsi="宋体"/>
        </w:rPr>
        <w:t>5</w:t>
      </w:r>
      <w:r>
        <w:rPr>
          <w:rFonts w:hint="eastAsia" w:ascii="宋体" w:hAnsi="宋体"/>
        </w:rPr>
        <w:t>.在保修期外，以最优惠的价格提供更换、维修。</w:t>
      </w:r>
    </w:p>
    <w:p>
      <w:pPr>
        <w:spacing w:line="360" w:lineRule="auto"/>
        <w:ind w:left="420" w:hanging="480" w:hangingChars="200"/>
        <w:rPr>
          <w:rFonts w:hint="eastAsia" w:ascii="宋体" w:hAnsi="宋体"/>
        </w:rPr>
      </w:pPr>
      <w:r>
        <w:rPr>
          <w:rFonts w:ascii="宋体" w:hAnsi="宋体"/>
        </w:rPr>
        <w:t>4.6</w:t>
      </w:r>
      <w:r>
        <w:rPr>
          <w:rFonts w:hint="eastAsia" w:ascii="宋体" w:hAnsi="宋体"/>
        </w:rPr>
        <w:t>.保修：产品的保修期为</w:t>
      </w:r>
      <w:r>
        <w:rPr>
          <w:rFonts w:hint="eastAsia" w:ascii="宋体" w:hAnsi="宋体"/>
          <w:u w:val="single"/>
        </w:rPr>
        <w:t xml:space="preserve"> </w:t>
      </w:r>
      <w:r>
        <w:rPr>
          <w:rFonts w:ascii="宋体" w:hAnsi="宋体"/>
          <w:u w:val="single"/>
        </w:rPr>
        <w:t xml:space="preserve"> </w:t>
      </w:r>
      <w:r>
        <w:rPr>
          <w:rFonts w:hint="eastAsia" w:ascii="宋体" w:hAnsi="宋体"/>
          <w:u w:val="single"/>
          <w:lang w:val="en-US" w:eastAsia="zh-CN"/>
        </w:rPr>
        <w:t>壹</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hint="eastAsia" w:ascii="宋体" w:hAnsi="宋体"/>
        </w:rPr>
        <w:t xml:space="preserve">年 </w:t>
      </w:r>
      <w:r>
        <w:rPr>
          <w:rFonts w:hint="eastAsia" w:ascii="宋体" w:hAnsi="宋体"/>
          <w:lang w:eastAsia="zh-CN"/>
        </w:rPr>
        <w:t>，</w:t>
      </w:r>
      <w:r>
        <w:rPr>
          <w:rFonts w:hint="eastAsia" w:ascii="宋体" w:hAnsi="宋体"/>
        </w:rPr>
        <w:t>从</w:t>
      </w:r>
      <w:r>
        <w:rPr>
          <w:rFonts w:hint="eastAsia" w:ascii="宋体" w:hAnsi="宋体"/>
          <w:lang w:eastAsia="zh-CN"/>
        </w:rPr>
        <w:t>出货</w:t>
      </w:r>
      <w:r>
        <w:rPr>
          <w:rFonts w:hint="eastAsia" w:ascii="宋体" w:hAnsi="宋体"/>
        </w:rPr>
        <w:t>之日计算。</w:t>
      </w:r>
    </w:p>
    <w:p>
      <w:pPr>
        <w:pStyle w:val="3"/>
        <w:tabs>
          <w:tab w:val="left" w:pos="284"/>
          <w:tab w:val="clear" w:pos="720"/>
        </w:tabs>
      </w:pPr>
      <w:r>
        <w:rPr>
          <w:rFonts w:hint="eastAsia"/>
        </w:rPr>
        <w:t>违约责任</w:t>
      </w:r>
    </w:p>
    <w:p>
      <w:pPr>
        <w:spacing w:line="360" w:lineRule="auto"/>
        <w:rPr>
          <w:rFonts w:ascii="宋体" w:hAnsi="宋体"/>
        </w:rPr>
      </w:pPr>
      <w:r>
        <w:rPr>
          <w:rFonts w:hint="eastAsia" w:ascii="宋体" w:hAnsi="宋体"/>
        </w:rPr>
        <w:t>5.1逾期交货：如乙方因自身原因逾期交货，其应自超过约定期限第五日起每日向甲方支付逾期所涉金额万分之五的违约金；违约金总额不超过产品总价的百分之五（5%）。若乙方迟延交货超过三十天，甲方有权书面通知乙方解除本合同，并要求乙方支付相当于货物总价10％的违约金，若违约金不能弥补甲方实际受到的损失的，乙方还应赔偿违约金和实际损失之间的差额。乙方应在接到甲方解除合同通知后10日内赔偿甲方所有损失。</w:t>
      </w:r>
    </w:p>
    <w:p>
      <w:pPr>
        <w:spacing w:line="360" w:lineRule="auto"/>
        <w:rPr>
          <w:rFonts w:ascii="宋体" w:hAnsi="宋体"/>
        </w:rPr>
      </w:pPr>
      <w:r>
        <w:rPr>
          <w:rFonts w:hint="eastAsia" w:ascii="宋体" w:hAnsi="宋体"/>
        </w:rPr>
        <w:t>5.2逾期付款：如甲方逾期付款，其应自超过约定期限第五日起每日向乙方支付逾期所涉金额万分之五的违约金；违约金总额不超过产品总价的百分之五（5%）。若甲方迟延付款超过三十天，乙方有权书面通知甲方解除本合同并要求甲方赔偿损失，甲方应在接到乙方解除合同通知后10日内赔偿乙方所有损失。</w:t>
      </w:r>
    </w:p>
    <w:p>
      <w:pPr>
        <w:spacing w:line="360" w:lineRule="auto"/>
        <w:rPr>
          <w:rFonts w:ascii="宋体" w:hAnsi="宋体"/>
        </w:rPr>
      </w:pPr>
      <w:r>
        <w:rPr>
          <w:rFonts w:hint="eastAsia" w:ascii="宋体" w:hAnsi="宋体"/>
        </w:rPr>
        <w:t>5.3甲方未在交货前做好工作场所和工作环境准备的，乙方有权暂停履行相关义务，甲方逾期30天仍未完成工作场所和工作环境准备的，乙方有权解除本合同并要求甲方赔偿损失。</w:t>
      </w:r>
    </w:p>
    <w:p>
      <w:pPr>
        <w:spacing w:line="360" w:lineRule="auto"/>
        <w:rPr>
          <w:rFonts w:hint="eastAsia" w:ascii="宋体" w:hAnsi="宋体"/>
        </w:rPr>
      </w:pPr>
      <w:r>
        <w:rPr>
          <w:rFonts w:hint="eastAsia" w:ascii="宋体" w:hAnsi="宋体"/>
        </w:rPr>
        <w:t>5.4若乙方不全面或怠于履行保修义务，经甲方一次催告仍不履行的，甲方有权自行或委托第三方进行，因此产生的费用和给甲方造成的直接经济损失由乙方承担。</w:t>
      </w:r>
    </w:p>
    <w:p>
      <w:pPr>
        <w:spacing w:line="360" w:lineRule="auto"/>
        <w:rPr>
          <w:rFonts w:hint="eastAsia"/>
        </w:rPr>
      </w:pPr>
      <w:r>
        <w:rPr>
          <w:rFonts w:hint="eastAsia" w:ascii="宋体" w:hAnsi="宋体"/>
        </w:rPr>
        <w:t>5.5执行费用：</w:t>
      </w:r>
      <w:r>
        <w:rPr>
          <w:rFonts w:hint="eastAsia" w:ascii="宋体"/>
          <w:spacing w:val="4"/>
        </w:rPr>
        <w:t>在强制执行本合同项下任何一方的义务时，行使权利的一方有权要求对其合理的开销进行补偿，包括但不限于合理的律师费、取证费用、鉴定费用等。</w:t>
      </w:r>
      <w:bookmarkStart w:id="1" w:name="_Toc54006252"/>
    </w:p>
    <w:p>
      <w:pPr>
        <w:pStyle w:val="3"/>
        <w:tabs>
          <w:tab w:val="left" w:pos="284"/>
          <w:tab w:val="clear" w:pos="720"/>
        </w:tabs>
      </w:pPr>
      <w:r>
        <w:rPr>
          <w:rFonts w:hint="eastAsia"/>
        </w:rPr>
        <w:t>合同的生效、解除和终止</w:t>
      </w:r>
    </w:p>
    <w:p>
      <w:pPr>
        <w:spacing w:line="360" w:lineRule="auto"/>
        <w:ind w:firstLine="480" w:firstLineChars="200"/>
        <w:rPr>
          <w:rFonts w:ascii="宋体" w:hAnsi="宋体"/>
        </w:rPr>
      </w:pPr>
      <w:r>
        <w:rPr>
          <w:rFonts w:hint="eastAsia" w:ascii="宋体" w:hAnsi="宋体"/>
        </w:rPr>
        <w:t>本合同及其附件自双方授权代表和盖公章之日起生效，如双方签署日期不一致，则以最后一方签署日为合同生效日，至双方均履行完本合同规定的义务时终止。</w:t>
      </w:r>
    </w:p>
    <w:p>
      <w:pPr>
        <w:pStyle w:val="3"/>
        <w:tabs>
          <w:tab w:val="left" w:pos="284"/>
          <w:tab w:val="clear" w:pos="720"/>
        </w:tabs>
        <w:rPr>
          <w:rFonts w:hAnsi="宋体"/>
        </w:rPr>
      </w:pPr>
      <w:r>
        <w:rPr>
          <w:rFonts w:hint="eastAsia"/>
        </w:rPr>
        <w:t>争议解决</w:t>
      </w:r>
    </w:p>
    <w:p>
      <w:pPr>
        <w:spacing w:line="360" w:lineRule="auto"/>
        <w:ind w:firstLine="476" w:firstLineChars="192"/>
        <w:rPr>
          <w:rFonts w:ascii="宋体"/>
          <w:spacing w:val="4"/>
        </w:rPr>
      </w:pPr>
      <w:r>
        <w:rPr>
          <w:rFonts w:hint="eastAsia" w:ascii="宋体"/>
          <w:spacing w:val="4"/>
        </w:rPr>
        <w:t>对因本合同的签署而产生的或与本合同有关的一切争议,均应提交成都仲裁委员会，按照申请仲裁时该会现行有效的仲裁规则进行仲裁。仲裁裁决是终局的，对双方均有约束力。并由败诉方或违约方承担仲裁费、保全保险代理费、律师费等维权费用。</w:t>
      </w:r>
    </w:p>
    <w:p>
      <w:pPr>
        <w:spacing w:line="360" w:lineRule="auto"/>
        <w:rPr>
          <w:rFonts w:ascii="宋体" w:hAnsi="宋体"/>
          <w:b/>
          <w:bCs/>
        </w:rPr>
      </w:pPr>
      <w:r>
        <w:rPr>
          <w:rFonts w:hint="eastAsia" w:ascii="宋体" w:hAnsi="宋体"/>
        </w:rPr>
        <w:t xml:space="preserve">8 </w:t>
      </w:r>
      <w:r>
        <w:rPr>
          <w:rFonts w:hint="eastAsia" w:ascii="宋体" w:hAnsi="宋体"/>
          <w:b/>
          <w:bCs/>
        </w:rPr>
        <w:t xml:space="preserve"> 修改</w:t>
      </w:r>
    </w:p>
    <w:p>
      <w:pPr>
        <w:spacing w:line="360" w:lineRule="auto"/>
        <w:ind w:firstLine="480" w:firstLineChars="200"/>
        <w:rPr>
          <w:rFonts w:ascii="宋体" w:hAnsi="宋体"/>
        </w:rPr>
      </w:pPr>
      <w:r>
        <w:rPr>
          <w:rFonts w:hint="eastAsia" w:ascii="宋体" w:hAnsi="宋体"/>
        </w:rPr>
        <w:t>对本合同的任何修改仅得以书面方式进行并经双方盖章，不得以口头方式修改。</w:t>
      </w:r>
    </w:p>
    <w:p>
      <w:pPr>
        <w:spacing w:line="360" w:lineRule="auto"/>
        <w:rPr>
          <w:rFonts w:ascii="宋体" w:hAnsi="宋体"/>
        </w:rPr>
      </w:pPr>
      <w:r>
        <w:rPr>
          <w:rFonts w:hint="eastAsia" w:ascii="宋体" w:hAnsi="宋体"/>
        </w:rPr>
        <w:t xml:space="preserve">9  </w:t>
      </w:r>
      <w:r>
        <w:rPr>
          <w:rFonts w:hint="eastAsia" w:ascii="宋体" w:hAnsi="宋体"/>
          <w:b/>
          <w:bCs/>
        </w:rPr>
        <w:t>文本</w:t>
      </w:r>
    </w:p>
    <w:p>
      <w:pPr>
        <w:spacing w:line="360" w:lineRule="auto"/>
        <w:ind w:firstLine="480" w:firstLineChars="200"/>
        <w:rPr>
          <w:rFonts w:ascii="宋体" w:hAnsi="宋体"/>
        </w:rPr>
      </w:pPr>
      <w:r>
        <w:rPr>
          <w:rFonts w:hint="eastAsia" w:ascii="宋体" w:hAnsi="宋体"/>
        </w:rPr>
        <w:t>本合同一式四份，甲乙双方各执二份，具有同等法律效力。</w:t>
      </w:r>
    </w:p>
    <w:p>
      <w:pPr>
        <w:spacing w:line="360" w:lineRule="auto"/>
      </w:pPr>
      <w:r>
        <w:rPr>
          <w:rFonts w:hint="eastAsia"/>
        </w:rPr>
        <w:t>本合同由以下双方签署，以资证明。</w:t>
      </w:r>
    </w:p>
    <w:bookmarkEnd w:id="1"/>
    <w:p>
      <w:pPr>
        <w:rPr>
          <w:rFonts w:hint="eastAsia"/>
        </w:rPr>
      </w:pPr>
    </w:p>
    <w:tbl>
      <w:tblPr>
        <w:tblStyle w:val="5"/>
        <w:tblW w:w="9091" w:type="dxa"/>
        <w:tblInd w:w="89" w:type="dxa"/>
        <w:tblLayout w:type="fixed"/>
        <w:tblCellMar>
          <w:top w:w="0" w:type="dxa"/>
          <w:left w:w="108" w:type="dxa"/>
          <w:bottom w:w="0" w:type="dxa"/>
          <w:right w:w="108" w:type="dxa"/>
        </w:tblCellMar>
      </w:tblPr>
      <w:tblGrid>
        <w:gridCol w:w="4839"/>
        <w:gridCol w:w="4252"/>
      </w:tblGrid>
      <w:tr>
        <w:tblPrEx>
          <w:tblCellMar>
            <w:top w:w="0" w:type="dxa"/>
            <w:left w:w="108" w:type="dxa"/>
            <w:bottom w:w="0" w:type="dxa"/>
            <w:right w:w="108" w:type="dxa"/>
          </w:tblCellMar>
        </w:tblPrEx>
        <w:trPr>
          <w:trHeight w:val="419" w:hRule="atLeast"/>
        </w:trPr>
        <w:tc>
          <w:tcPr>
            <w:tcW w:w="4839" w:type="dxa"/>
            <w:tcBorders>
              <w:top w:val="nil"/>
              <w:left w:val="nil"/>
              <w:bottom w:val="nil"/>
              <w:right w:val="nil"/>
            </w:tcBorders>
            <w:noWrap w:val="0"/>
            <w:vAlign w:val="top"/>
          </w:tcPr>
          <w:p>
            <w:pPr>
              <w:widowControl/>
              <w:rPr>
                <w:rFonts w:ascii="宋体" w:hAnsi="宋体" w:cs="宋体"/>
                <w:b/>
                <w:bCs/>
                <w:color w:val="000000"/>
                <w:kern w:val="0"/>
                <w:sz w:val="24"/>
                <w:szCs w:val="24"/>
              </w:rPr>
            </w:pPr>
            <w:r>
              <w:rPr>
                <w:rFonts w:hint="eastAsia" w:ascii="宋体" w:hAnsi="宋体" w:cs="宋体"/>
                <w:b/>
                <w:bCs/>
                <w:color w:val="000000"/>
                <w:kern w:val="0"/>
                <w:sz w:val="24"/>
                <w:szCs w:val="24"/>
              </w:rPr>
              <w:t>（盖章）</w:t>
            </w:r>
          </w:p>
        </w:tc>
        <w:tc>
          <w:tcPr>
            <w:tcW w:w="4252" w:type="dxa"/>
            <w:tcBorders>
              <w:top w:val="nil"/>
              <w:left w:val="nil"/>
              <w:bottom w:val="nil"/>
              <w:right w:val="nil"/>
            </w:tcBorders>
            <w:noWrap w:val="0"/>
            <w:vAlign w:val="top"/>
          </w:tcPr>
          <w:p>
            <w:pPr>
              <w:widowControl/>
              <w:rPr>
                <w:rFonts w:ascii="宋体" w:hAnsi="宋体" w:cs="宋体"/>
                <w:b/>
                <w:bCs/>
                <w:color w:val="000000"/>
                <w:kern w:val="0"/>
                <w:sz w:val="24"/>
                <w:szCs w:val="24"/>
                <w:lang w:val="zh-CN"/>
              </w:rPr>
            </w:pPr>
            <w:r>
              <w:rPr>
                <w:rFonts w:hint="eastAsia"/>
                <w:b/>
                <w:sz w:val="24"/>
                <w:szCs w:val="24"/>
              </w:rPr>
              <w:t>（</w:t>
            </w:r>
            <w:r>
              <w:rPr>
                <w:rFonts w:hint="eastAsia" w:ascii="宋体" w:hAnsi="宋体" w:cs="宋体"/>
                <w:b/>
                <w:bCs/>
                <w:color w:val="000000"/>
                <w:kern w:val="0"/>
                <w:sz w:val="24"/>
                <w:szCs w:val="24"/>
              </w:rPr>
              <w:t>盖章）</w:t>
            </w:r>
            <w:r>
              <w:rPr>
                <w:b/>
                <w:bCs/>
                <w:color w:val="000000"/>
                <w:kern w:val="0"/>
                <w:sz w:val="24"/>
                <w:szCs w:val="24"/>
              </w:rPr>
              <w:t xml:space="preserve"> </w:t>
            </w:r>
          </w:p>
        </w:tc>
      </w:tr>
      <w:tr>
        <w:tblPrEx>
          <w:tblCellMar>
            <w:top w:w="0" w:type="dxa"/>
            <w:left w:w="108" w:type="dxa"/>
            <w:bottom w:w="0" w:type="dxa"/>
            <w:right w:w="108" w:type="dxa"/>
          </w:tblCellMar>
        </w:tblPrEx>
        <w:trPr>
          <w:trHeight w:val="570" w:hRule="atLeast"/>
        </w:trPr>
        <w:tc>
          <w:tcPr>
            <w:tcW w:w="4839" w:type="dxa"/>
            <w:tcBorders>
              <w:top w:val="nil"/>
              <w:left w:val="nil"/>
              <w:bottom w:val="nil"/>
              <w:right w:val="nil"/>
            </w:tcBorders>
            <w:noWrap w:val="0"/>
            <w:vAlign w:val="top"/>
          </w:tcPr>
          <w:p>
            <w:pPr>
              <w:widowControl/>
              <w:rPr>
                <w:rFonts w:ascii="宋体" w:hAnsi="宋体" w:cs="宋体"/>
                <w:color w:val="000000"/>
                <w:kern w:val="0"/>
                <w:sz w:val="24"/>
                <w:szCs w:val="24"/>
              </w:rPr>
            </w:pPr>
            <w:r>
              <w:rPr>
                <w:rFonts w:hint="eastAsia" w:ascii="宋体" w:hAnsi="宋体" w:cs="宋体"/>
                <w:color w:val="000000"/>
                <w:kern w:val="0"/>
                <w:sz w:val="24"/>
                <w:szCs w:val="24"/>
              </w:rPr>
              <w:t>授权代表签字：</w:t>
            </w:r>
          </w:p>
        </w:tc>
        <w:tc>
          <w:tcPr>
            <w:tcW w:w="4252" w:type="dxa"/>
            <w:tcBorders>
              <w:top w:val="nil"/>
              <w:left w:val="nil"/>
              <w:bottom w:val="nil"/>
              <w:right w:val="nil"/>
            </w:tcBorders>
            <w:noWrap w:val="0"/>
            <w:vAlign w:val="top"/>
          </w:tcPr>
          <w:p>
            <w:pPr>
              <w:widowControl/>
              <w:rPr>
                <w:rFonts w:ascii="宋体" w:hAnsi="宋体" w:cs="宋体"/>
                <w:color w:val="000000"/>
                <w:kern w:val="0"/>
                <w:sz w:val="24"/>
                <w:szCs w:val="24"/>
              </w:rPr>
            </w:pPr>
            <w:r>
              <w:rPr>
                <w:rFonts w:hint="eastAsia" w:ascii="宋体" w:hAnsi="宋体" w:cs="宋体"/>
                <w:color w:val="000000"/>
                <w:kern w:val="0"/>
                <w:sz w:val="24"/>
                <w:szCs w:val="24"/>
              </w:rPr>
              <w:t>授权代表签字：</w:t>
            </w:r>
            <w:r>
              <w:rPr>
                <w:color w:val="000000"/>
                <w:kern w:val="0"/>
                <w:sz w:val="24"/>
                <w:szCs w:val="24"/>
              </w:rPr>
              <w:t xml:space="preserve"> </w:t>
            </w:r>
          </w:p>
        </w:tc>
      </w:tr>
      <w:tr>
        <w:tblPrEx>
          <w:tblCellMar>
            <w:top w:w="0" w:type="dxa"/>
            <w:left w:w="108" w:type="dxa"/>
            <w:bottom w:w="0" w:type="dxa"/>
            <w:right w:w="108" w:type="dxa"/>
          </w:tblCellMar>
        </w:tblPrEx>
        <w:trPr>
          <w:trHeight w:val="80" w:hRule="atLeast"/>
        </w:trPr>
        <w:tc>
          <w:tcPr>
            <w:tcW w:w="4839" w:type="dxa"/>
            <w:tcBorders>
              <w:top w:val="nil"/>
              <w:left w:val="nil"/>
              <w:bottom w:val="nil"/>
              <w:right w:val="nil"/>
            </w:tcBorders>
            <w:noWrap w:val="0"/>
            <w:vAlign w:val="top"/>
          </w:tcPr>
          <w:p>
            <w:pPr>
              <w:widowControl/>
              <w:rPr>
                <w:rFonts w:ascii="宋体" w:hAnsi="宋体" w:cs="宋体"/>
                <w:color w:val="000000"/>
                <w:kern w:val="0"/>
                <w:sz w:val="24"/>
                <w:szCs w:val="24"/>
              </w:rPr>
            </w:pPr>
            <w:r>
              <w:rPr>
                <w:rFonts w:hint="eastAsia" w:ascii="宋体" w:hAnsi="宋体" w:cs="宋体"/>
                <w:color w:val="000000"/>
                <w:kern w:val="0"/>
                <w:sz w:val="24"/>
                <w:szCs w:val="24"/>
              </w:rPr>
              <w:t>日期：</w:t>
            </w:r>
          </w:p>
        </w:tc>
        <w:tc>
          <w:tcPr>
            <w:tcW w:w="4252" w:type="dxa"/>
            <w:tcBorders>
              <w:top w:val="nil"/>
              <w:left w:val="nil"/>
              <w:bottom w:val="nil"/>
              <w:right w:val="nil"/>
            </w:tcBorders>
            <w:noWrap w:val="0"/>
            <w:vAlign w:val="top"/>
          </w:tcPr>
          <w:p>
            <w:pPr>
              <w:widowControl/>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rPr>
              <w:t>日期：</w:t>
            </w:r>
            <w:r>
              <w:rPr>
                <w:rFonts w:hint="eastAsia" w:ascii="宋体" w:hAnsi="宋体" w:cs="宋体"/>
                <w:color w:val="000000"/>
                <w:kern w:val="0"/>
                <w:sz w:val="24"/>
                <w:szCs w:val="24"/>
                <w:lang w:val="en-US" w:eastAsia="zh-CN"/>
              </w:rPr>
              <w:t>2023年   月   日</w:t>
            </w:r>
          </w:p>
        </w:tc>
      </w:tr>
    </w:tbl>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华文宋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0D11C10"/>
    <w:multiLevelType w:val="multilevel"/>
    <w:tmpl w:val="20D11C10"/>
    <w:lvl w:ilvl="0" w:tentative="0">
      <w:start w:val="1"/>
      <w:numFmt w:val="chineseCountingThousand"/>
      <w:lvlText w:val="%1、"/>
      <w:lvlJc w:val="left"/>
      <w:pPr>
        <w:ind w:left="794" w:hanging="794"/>
      </w:pPr>
      <w:rPr>
        <w:rFonts w:hint="eastAsia" w:eastAsia="宋体"/>
        <w:b/>
        <w:i w:val="0"/>
        <w:sz w:val="21"/>
      </w:rPr>
    </w:lvl>
    <w:lvl w:ilvl="1" w:tentative="0">
      <w:start w:val="1"/>
      <w:numFmt w:val="decimal"/>
      <w:pStyle w:val="9"/>
      <w:lvlText w:val="%2."/>
      <w:lvlJc w:val="left"/>
      <w:pPr>
        <w:ind w:left="794" w:hanging="794"/>
      </w:pPr>
      <w:rPr>
        <w:rFonts w:hint="default" w:ascii="宋体" w:hAnsi="宋体" w:eastAsia="宋体"/>
        <w:b/>
        <w:i w:val="0"/>
        <w:sz w:val="21"/>
      </w:rPr>
    </w:lvl>
    <w:lvl w:ilvl="2" w:tentative="0">
      <w:start w:val="1"/>
      <w:numFmt w:val="decimal"/>
      <w:pStyle w:val="8"/>
      <w:lvlText w:val="%2.%3."/>
      <w:lvlJc w:val="left"/>
      <w:pPr>
        <w:ind w:left="794" w:hanging="794"/>
      </w:pPr>
      <w:rPr>
        <w:rFonts w:hint="eastAsia"/>
      </w:rPr>
    </w:lvl>
    <w:lvl w:ilvl="3" w:tentative="0">
      <w:start w:val="1"/>
      <w:numFmt w:val="decimal"/>
      <w:lvlText w:val="%2.%3.%4."/>
      <w:lvlJc w:val="left"/>
      <w:pPr>
        <w:ind w:left="794" w:hanging="794"/>
      </w:pPr>
      <w:rPr>
        <w:rFonts w:hint="eastAsia"/>
      </w:rPr>
    </w:lvl>
    <w:lvl w:ilvl="4" w:tentative="0">
      <w:start w:val="1"/>
      <w:numFmt w:val="upperLetter"/>
      <w:lvlText w:val="%5"/>
      <w:lvlJc w:val="left"/>
      <w:pPr>
        <w:tabs>
          <w:tab w:val="left" w:pos="794"/>
        </w:tabs>
        <w:ind w:left="794" w:hanging="794"/>
      </w:pPr>
      <w:rPr>
        <w:rFonts w:hint="eastAsia"/>
      </w:rPr>
    </w:lvl>
    <w:lvl w:ilvl="5" w:tentative="0">
      <w:start w:val="1"/>
      <w:numFmt w:val="decimal"/>
      <w:lvlText w:val="%1.%2.%3.%4.%5.%6"/>
      <w:lvlJc w:val="left"/>
      <w:pPr>
        <w:ind w:left="794" w:hanging="794"/>
      </w:pPr>
      <w:rPr>
        <w:rFonts w:hint="eastAsia"/>
      </w:rPr>
    </w:lvl>
    <w:lvl w:ilvl="6" w:tentative="0">
      <w:start w:val="1"/>
      <w:numFmt w:val="decimal"/>
      <w:lvlText w:val="%1.%2.%3.%4.%5.%6.%7"/>
      <w:lvlJc w:val="left"/>
      <w:pPr>
        <w:ind w:left="794" w:hanging="794"/>
      </w:pPr>
      <w:rPr>
        <w:rFonts w:hint="eastAsia"/>
      </w:rPr>
    </w:lvl>
    <w:lvl w:ilvl="7" w:tentative="0">
      <w:start w:val="1"/>
      <w:numFmt w:val="decimal"/>
      <w:lvlText w:val="%1.%2.%3.%4.%5.%6.%7.%8"/>
      <w:lvlJc w:val="left"/>
      <w:pPr>
        <w:ind w:left="794" w:hanging="794"/>
      </w:pPr>
      <w:rPr>
        <w:rFonts w:hint="eastAsia"/>
      </w:rPr>
    </w:lvl>
    <w:lvl w:ilvl="8" w:tentative="0">
      <w:start w:val="1"/>
      <w:numFmt w:val="decimal"/>
      <w:lvlText w:val="%1.%2.%3.%4.%5.%6.%7.%8.%9"/>
      <w:lvlJc w:val="left"/>
      <w:pPr>
        <w:ind w:left="794" w:hanging="794"/>
      </w:pPr>
      <w:rPr>
        <w:rFonts w:hint="eastAsia"/>
      </w:rPr>
    </w:lvl>
  </w:abstractNum>
  <w:abstractNum w:abstractNumId="2">
    <w:nsid w:val="29CD62A8"/>
    <w:multiLevelType w:val="multilevel"/>
    <w:tmpl w:val="29CD62A8"/>
    <w:lvl w:ilvl="0" w:tentative="0">
      <w:start w:val="1"/>
      <w:numFmt w:val="decimal"/>
      <w:pStyle w:val="3"/>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052F3AB7"/>
    <w:rsid w:val="00A67D58"/>
    <w:rsid w:val="052F3AB7"/>
    <w:rsid w:val="0C1C4170"/>
    <w:rsid w:val="15CA4003"/>
    <w:rsid w:val="28F17286"/>
    <w:rsid w:val="2AFB60D8"/>
    <w:rsid w:val="361719C1"/>
    <w:rsid w:val="367A046E"/>
    <w:rsid w:val="382128B0"/>
    <w:rsid w:val="3BEB6C08"/>
    <w:rsid w:val="62113CD1"/>
    <w:rsid w:val="672361E6"/>
    <w:rsid w:val="6D4E5FC4"/>
    <w:rsid w:val="7BCE36BF"/>
    <w:rsid w:val="7CEB202E"/>
    <w:rsid w:val="7D8074AE"/>
    <w:rsid w:val="7F71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3">
    <w:name w:val="heading 1"/>
    <w:basedOn w:val="1"/>
    <w:next w:val="1"/>
    <w:qFormat/>
    <w:uiPriority w:val="0"/>
    <w:pPr>
      <w:keepNext/>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autoSpaceDE w:val="0"/>
      <w:autoSpaceDN w:val="0"/>
      <w:adjustRightInd w:val="0"/>
      <w:ind w:left="0" w:firstLine="0"/>
      <w:textAlignment w:val="baseline"/>
      <w:outlineLvl w:val="0"/>
    </w:pPr>
    <w:rPr>
      <w:b/>
      <w:kern w:val="0"/>
      <w:lang w:val="en-GB"/>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4">
    <w:name w:val="footer"/>
    <w:basedOn w:val="1"/>
    <w:qFormat/>
    <w:uiPriority w:val="99"/>
    <w:pPr>
      <w:tabs>
        <w:tab w:val="center" w:pos="4153"/>
        <w:tab w:val="right" w:pos="8306"/>
      </w:tabs>
      <w:snapToGrid w:val="0"/>
      <w:jc w:val="left"/>
    </w:pPr>
    <w:rPr>
      <w:sz w:val="18"/>
      <w:szCs w:val="2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8"/>
    <w:basedOn w:val="9"/>
    <w:qFormat/>
    <w:uiPriority w:val="0"/>
    <w:pPr>
      <w:numPr>
        <w:ilvl w:val="2"/>
      </w:numPr>
    </w:pPr>
    <w:rPr>
      <w:b w:val="0"/>
    </w:rPr>
  </w:style>
  <w:style w:type="paragraph" w:customStyle="1" w:styleId="9">
    <w:name w:val="样式2"/>
    <w:basedOn w:val="1"/>
    <w:qFormat/>
    <w:uiPriority w:val="0"/>
    <w:pPr>
      <w:numPr>
        <w:ilvl w:val="1"/>
        <w:numId w:val="2"/>
      </w:numPr>
      <w:spacing w:beforeLines="50" w:line="276" w:lineRule="auto"/>
    </w:pPr>
    <w:rPr>
      <w:rFonts w:ascii="宋体" w:hAnsi="宋体"/>
      <w:b/>
      <w:szCs w:val="21"/>
    </w:rPr>
  </w:style>
  <w:style w:type="character" w:customStyle="1" w:styleId="10">
    <w:name w:val="font91"/>
    <w:basedOn w:val="7"/>
    <w:uiPriority w:val="0"/>
    <w:rPr>
      <w:rFonts w:hint="eastAsia" w:ascii="宋体" w:hAnsi="宋体" w:eastAsia="宋体" w:cs="宋体"/>
      <w:color w:val="000000"/>
      <w:sz w:val="20"/>
      <w:szCs w:val="20"/>
      <w:u w:val="none"/>
    </w:rPr>
  </w:style>
  <w:style w:type="character" w:customStyle="1" w:styleId="11">
    <w:name w:val="font141"/>
    <w:basedOn w:val="7"/>
    <w:uiPriority w:val="0"/>
    <w:rPr>
      <w:rFonts w:hint="eastAsia" w:ascii="宋体" w:hAnsi="宋体" w:eastAsia="宋体" w:cs="宋体"/>
      <w:b/>
      <w:bCs/>
      <w:color w:val="FF0000"/>
      <w:sz w:val="20"/>
      <w:szCs w:val="20"/>
      <w:u w:val="none"/>
    </w:rPr>
  </w:style>
  <w:style w:type="character" w:customStyle="1" w:styleId="12">
    <w:name w:val="font81"/>
    <w:basedOn w:val="7"/>
    <w:uiPriority w:val="0"/>
    <w:rPr>
      <w:rFonts w:hint="eastAsia" w:ascii="微软雅黑" w:hAnsi="微软雅黑" w:eastAsia="微软雅黑" w:cs="微软雅黑"/>
      <w:b/>
      <w:bCs/>
      <w:color w:val="FF0000"/>
      <w:sz w:val="20"/>
      <w:szCs w:val="20"/>
      <w:u w:val="none"/>
    </w:rPr>
  </w:style>
  <w:style w:type="character" w:customStyle="1" w:styleId="13">
    <w:name w:val="font151"/>
    <w:basedOn w:val="7"/>
    <w:uiPriority w:val="0"/>
    <w:rPr>
      <w:rFonts w:hint="eastAsia" w:ascii="宋体" w:hAnsi="宋体" w:eastAsia="宋体" w:cs="宋体"/>
      <w:b/>
      <w:bCs/>
      <w:color w:val="000000"/>
      <w:sz w:val="20"/>
      <w:szCs w:val="20"/>
      <w:u w:val="none"/>
    </w:rPr>
  </w:style>
  <w:style w:type="character" w:customStyle="1" w:styleId="14">
    <w:name w:val="font131"/>
    <w:basedOn w:val="7"/>
    <w:qFormat/>
    <w:uiPriority w:val="0"/>
    <w:rPr>
      <w:rFonts w:hint="eastAsia" w:ascii="宋体" w:hAnsi="宋体" w:eastAsia="宋体" w:cs="宋体"/>
      <w:b/>
      <w:bCs/>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5135</Words>
  <Characters>5339</Characters>
  <Lines>0</Lines>
  <Paragraphs>0</Paragraphs>
  <TotalTime>4</TotalTime>
  <ScaleCrop>false</ScaleCrop>
  <LinksUpToDate>false</LinksUpToDate>
  <CharactersWithSpaces>5552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dcterms:modified xsi:type="dcterms:W3CDTF">2023-09-05T02:49:18Z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76C9A4773B63434B9FC51B57D37D2DB1_11</vt:lpwstr>
  </property>
</Properties>
</file>