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w:t>
      </w:r>
      <w:r>
        <w:rPr>
          <w:rFonts w:hint="eastAsia" w:ascii="仿宋" w:hAnsi="仿宋" w:eastAsia="仿宋" w:cs="仿宋"/>
          <w:sz w:val="32"/>
          <w:szCs w:val="32"/>
          <w:lang w:val="en-US" w:eastAsia="zh-CN"/>
        </w:rPr>
        <w:t>江油蜀游酒店管理公司青莲分公司</w:t>
      </w:r>
      <w:r>
        <w:rPr>
          <w:rFonts w:hint="eastAsia" w:ascii="仿宋" w:hAnsi="仿宋" w:eastAsia="仿宋" w:cs="仿宋"/>
          <w:b w:val="0"/>
          <w:bCs w:val="0"/>
          <w:sz w:val="32"/>
          <w:szCs w:val="32"/>
          <w:u w:val="none" w:color="auto"/>
          <w:lang w:val="en-US" w:eastAsia="zh-CN"/>
        </w:rPr>
        <w:t>旗下欧洲院子提供</w:t>
      </w:r>
      <w:r>
        <w:rPr>
          <w:rFonts w:hint="eastAsia" w:ascii="仿宋_GB2312" w:hAnsi="仿宋_GB2312" w:eastAsia="仿宋_GB2312" w:cs="仿宋_GB2312"/>
          <w:sz w:val="32"/>
          <w:szCs w:val="32"/>
          <w:lang w:val="en-US" w:eastAsia="zh-CN"/>
        </w:rPr>
        <w:t>电力抢险施工</w:t>
      </w:r>
      <w:r>
        <w:rPr>
          <w:rFonts w:hint="eastAsia" w:ascii="仿宋" w:hAnsi="仿宋" w:eastAsia="仿宋" w:cs="仿宋"/>
          <w:b w:val="0"/>
          <w:bCs w:val="0"/>
          <w:sz w:val="32"/>
          <w:szCs w:val="32"/>
          <w:u w:val="none" w:color="auto"/>
          <w:lang w:val="en-US" w:eastAsia="zh-CN"/>
        </w:rPr>
        <w:t>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keepNext w:val="0"/>
        <w:keepLines w:val="0"/>
        <w:pageBreakBefore w:val="0"/>
        <w:widowControl w:val="0"/>
        <w:numPr>
          <w:ilvl w:val="0"/>
          <w:numId w:val="3"/>
        </w:numPr>
        <w:kinsoku/>
        <w:wordWrap/>
        <w:overflowPunct/>
        <w:topLinePunct w:val="0"/>
        <w:autoSpaceDE/>
        <w:autoSpaceDN/>
        <w:bidi w:val="0"/>
        <w:adjustRightInd/>
        <w:snapToGrid/>
        <w:spacing w:line="574"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在环网柜旁改造新增一块设备基础，新增更换1台一进二出环网柜、电缆电力线管约20米，更换电缆附件3套；</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2、500KVA箱变更换设备，高压负荷开关、高压熔断器、计量互感器、高压传感器、绝缘子、穿墙套管及辅助材料。</w:t>
      </w:r>
    </w:p>
    <w:p>
      <w:pPr>
        <w:keepNext w:val="0"/>
        <w:keepLines w:val="0"/>
        <w:pageBreakBefore w:val="0"/>
        <w:widowControl w:val="0"/>
        <w:numPr>
          <w:ilvl w:val="0"/>
          <w:numId w:val="0"/>
        </w:numPr>
        <w:shd w:val="clear" w:color="auto" w:fill="auto"/>
        <w:tabs>
          <w:tab w:val="left" w:pos="582"/>
        </w:tabs>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三、备注</w:t>
      </w:r>
    </w:p>
    <w:p>
      <w:pPr>
        <w:pStyle w:val="2"/>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1、报价需包含安装费、调试费、人工费、运输费及税费等费用；</w:t>
      </w:r>
    </w:p>
    <w:p>
      <w:pPr>
        <w:pStyle w:val="2"/>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default"/>
          <w:u w:val="none"/>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2、项目实施周期：</w:t>
      </w:r>
      <w:r>
        <w:rPr>
          <w:rFonts w:hint="eastAsia" w:ascii="仿宋" w:hAnsi="仿宋" w:eastAsia="仿宋" w:cs="仿宋"/>
          <w:b w:val="0"/>
          <w:bCs w:val="0"/>
          <w:color w:val="auto"/>
          <w:spacing w:val="0"/>
          <w:w w:val="100"/>
          <w:position w:val="0"/>
          <w:sz w:val="32"/>
          <w:szCs w:val="32"/>
          <w:u w:val="single" w:color="auto"/>
          <w:shd w:val="clear" w:color="auto" w:fill="auto"/>
          <w:lang w:val="en-US" w:eastAsia="zh-CN" w:bidi="en-US"/>
        </w:rPr>
        <w:t>7</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天内。</w:t>
      </w: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青莲欧洲院子电力抢险项目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江油蜀游酒店管理公司青莲分公司：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我方全面研究了“青莲欧洲院子电力抢险项目比选竞标函”，决定参加贵单位组织的本项目比选，并自觉遵守服务相关规定，遵守服务规则，维护正常的服务秩序。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cols w:space="0" w:num="1"/>
          <w:rtlGutter w:val="0"/>
          <w:docGrid w:type="lines" w:linePitch="332" w:charSpace="0"/>
        </w:sectPr>
      </w:pPr>
    </w:p>
    <w:p>
      <w:pPr>
        <w:pStyle w:val="2"/>
        <w:shd w:val="clear" w:color="auto" w:fil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附件1：项目报价清单</w:t>
      </w:r>
    </w:p>
    <w:p>
      <w:pPr>
        <w:keepNext w:val="0"/>
        <w:keepLines w:val="0"/>
        <w:pageBreakBefore w:val="0"/>
        <w:widowControl w:val="0"/>
        <w:numPr>
          <w:ilvl w:val="0"/>
          <w:numId w:val="0"/>
        </w:numPr>
        <w:shd w:val="clear" w:color="auto" w:fill="auto"/>
        <w:tabs>
          <w:tab w:val="left" w:pos="582"/>
        </w:tabs>
        <w:kinsoku/>
        <w:wordWrap/>
        <w:overflowPunct/>
        <w:topLinePunct w:val="0"/>
        <w:autoSpaceDE/>
        <w:autoSpaceDN/>
        <w:bidi w:val="0"/>
        <w:adjustRightInd/>
        <w:snapToGrid/>
        <w:spacing w:line="574" w:lineRule="exact"/>
        <w:ind w:right="0" w:rightChars="0" w:firstLine="643" w:firstLineChars="200"/>
        <w:jc w:val="center"/>
        <w:textAlignment w:val="auto"/>
        <w:rPr>
          <w:rFonts w:hint="eastAsia" w:ascii="仿宋" w:hAnsi="仿宋" w:eastAsia="仿宋" w:cs="仿宋"/>
          <w:b/>
          <w:bCs/>
          <w:sz w:val="32"/>
          <w:szCs w:val="32"/>
          <w:u w:val="none" w:color="auto"/>
          <w:lang w:val="en-US" w:eastAsia="zh-CN"/>
        </w:rPr>
      </w:pPr>
      <w:r>
        <w:rPr>
          <w:rFonts w:hint="eastAsia" w:ascii="仿宋" w:hAnsi="仿宋" w:eastAsia="仿宋" w:cs="仿宋"/>
          <w:b/>
          <w:bCs/>
          <w:sz w:val="32"/>
          <w:szCs w:val="32"/>
          <w:u w:val="none" w:color="auto"/>
          <w:lang w:val="en-US" w:eastAsia="zh-CN"/>
        </w:rPr>
        <w:t>报价清单</w:t>
      </w:r>
    </w:p>
    <w:tbl>
      <w:tblPr>
        <w:tblStyle w:val="6"/>
        <w:tblW w:w="97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402"/>
        <w:gridCol w:w="2296"/>
        <w:gridCol w:w="1143"/>
        <w:gridCol w:w="865"/>
        <w:gridCol w:w="1292"/>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序号</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设备名称</w:t>
            </w:r>
          </w:p>
        </w:tc>
        <w:tc>
          <w:tcPr>
            <w:tcW w:w="2296"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设备型号及规格</w:t>
            </w: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单位</w:t>
            </w:r>
          </w:p>
        </w:tc>
        <w:tc>
          <w:tcPr>
            <w:tcW w:w="86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数量</w:t>
            </w:r>
          </w:p>
        </w:tc>
        <w:tc>
          <w:tcPr>
            <w:tcW w:w="129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单价</w:t>
            </w:r>
          </w:p>
        </w:tc>
        <w:tc>
          <w:tcPr>
            <w:tcW w:w="1004"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1</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高压进线柜</w:t>
            </w:r>
          </w:p>
        </w:tc>
        <w:tc>
          <w:tcPr>
            <w:tcW w:w="2296" w:type="dxa"/>
          </w:tcPr>
          <w:p>
            <w:pPr>
              <w:pStyle w:val="2"/>
              <w:jc w:val="center"/>
              <w:rPr>
                <w:rFonts w:hint="default"/>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台</w:t>
            </w:r>
          </w:p>
        </w:tc>
        <w:tc>
          <w:tcPr>
            <w:tcW w:w="86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1</w:t>
            </w: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2</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高压出线柜</w:t>
            </w:r>
          </w:p>
        </w:tc>
        <w:tc>
          <w:tcPr>
            <w:tcW w:w="2296" w:type="dxa"/>
          </w:tcPr>
          <w:p>
            <w:pPr>
              <w:pStyle w:val="2"/>
              <w:jc w:val="center"/>
              <w:rPr>
                <w:rFonts w:hint="default"/>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台</w:t>
            </w:r>
          </w:p>
        </w:tc>
        <w:tc>
          <w:tcPr>
            <w:tcW w:w="86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2</w:t>
            </w: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3</w:t>
            </w:r>
          </w:p>
        </w:tc>
        <w:tc>
          <w:tcPr>
            <w:tcW w:w="2402" w:type="dxa"/>
          </w:tcPr>
          <w:p>
            <w:pPr>
              <w:pStyle w:val="2"/>
              <w:jc w:val="center"/>
              <w:rPr>
                <w:rFonts w:hint="default"/>
                <w:sz w:val="24"/>
                <w:szCs w:val="24"/>
                <w:lang w:val="en-US" w:eastAsia="zh-CN"/>
              </w:rPr>
            </w:pPr>
            <w:r>
              <w:rPr>
                <w:rFonts w:hint="eastAsia"/>
                <w:sz w:val="24"/>
                <w:szCs w:val="24"/>
                <w:lang w:val="en-US" w:eastAsia="zh-CN"/>
              </w:rPr>
              <w:t>电缆电力线管</w:t>
            </w:r>
          </w:p>
        </w:tc>
        <w:tc>
          <w:tcPr>
            <w:tcW w:w="2296" w:type="dxa"/>
          </w:tcPr>
          <w:p>
            <w:pPr>
              <w:pStyle w:val="2"/>
              <w:jc w:val="center"/>
              <w:rPr>
                <w:rFonts w:hint="default"/>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米</w:t>
            </w:r>
          </w:p>
        </w:tc>
        <w:tc>
          <w:tcPr>
            <w:tcW w:w="86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20</w:t>
            </w: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4</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电缆附件</w:t>
            </w:r>
          </w:p>
        </w:tc>
        <w:tc>
          <w:tcPr>
            <w:tcW w:w="2296" w:type="dxa"/>
          </w:tcPr>
          <w:p>
            <w:pPr>
              <w:pStyle w:val="2"/>
              <w:jc w:val="center"/>
              <w:rPr>
                <w:rFonts w:hint="default"/>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套</w:t>
            </w:r>
          </w:p>
        </w:tc>
        <w:tc>
          <w:tcPr>
            <w:tcW w:w="86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3</w:t>
            </w: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5</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高压负荷开关</w:t>
            </w:r>
          </w:p>
        </w:tc>
        <w:tc>
          <w:tcPr>
            <w:tcW w:w="2296" w:type="dxa"/>
          </w:tcPr>
          <w:p>
            <w:pPr>
              <w:pStyle w:val="2"/>
              <w:jc w:val="center"/>
              <w:rPr>
                <w:rFonts w:hint="default"/>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台</w:t>
            </w:r>
          </w:p>
        </w:tc>
        <w:tc>
          <w:tcPr>
            <w:tcW w:w="865" w:type="dxa"/>
          </w:tcPr>
          <w:p>
            <w:pPr>
              <w:pStyle w:val="2"/>
              <w:jc w:val="center"/>
              <w:rPr>
                <w:rFonts w:hint="default"/>
                <w:sz w:val="24"/>
                <w:szCs w:val="24"/>
                <w:vertAlign w:val="baseline"/>
                <w:lang w:val="en-US" w:eastAsia="zh-CN"/>
              </w:rPr>
            </w:pP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6</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高压熔断器</w:t>
            </w:r>
          </w:p>
        </w:tc>
        <w:tc>
          <w:tcPr>
            <w:tcW w:w="2296" w:type="dxa"/>
          </w:tcPr>
          <w:p>
            <w:pPr>
              <w:pStyle w:val="2"/>
              <w:jc w:val="center"/>
              <w:rPr>
                <w:rFonts w:hint="default"/>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组</w:t>
            </w:r>
          </w:p>
        </w:tc>
        <w:tc>
          <w:tcPr>
            <w:tcW w:w="865" w:type="dxa"/>
          </w:tcPr>
          <w:p>
            <w:pPr>
              <w:pStyle w:val="2"/>
              <w:jc w:val="center"/>
              <w:rPr>
                <w:rFonts w:hint="default"/>
                <w:sz w:val="24"/>
                <w:szCs w:val="24"/>
                <w:vertAlign w:val="baseline"/>
                <w:lang w:val="en-US" w:eastAsia="zh-CN"/>
              </w:rPr>
            </w:pP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7</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计量互感器</w:t>
            </w:r>
          </w:p>
        </w:tc>
        <w:tc>
          <w:tcPr>
            <w:tcW w:w="2296" w:type="dxa"/>
          </w:tcPr>
          <w:p>
            <w:pPr>
              <w:pStyle w:val="2"/>
              <w:jc w:val="center"/>
              <w:rPr>
                <w:rFonts w:hint="eastAsia"/>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只</w:t>
            </w:r>
          </w:p>
        </w:tc>
        <w:tc>
          <w:tcPr>
            <w:tcW w:w="865" w:type="dxa"/>
          </w:tcPr>
          <w:p>
            <w:pPr>
              <w:pStyle w:val="2"/>
              <w:jc w:val="center"/>
              <w:rPr>
                <w:rFonts w:hint="default"/>
                <w:sz w:val="24"/>
                <w:szCs w:val="24"/>
                <w:vertAlign w:val="baseline"/>
                <w:lang w:val="en-US" w:eastAsia="zh-CN"/>
              </w:rPr>
            </w:pP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8</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高压传感器</w:t>
            </w:r>
          </w:p>
        </w:tc>
        <w:tc>
          <w:tcPr>
            <w:tcW w:w="2296" w:type="dxa"/>
          </w:tcPr>
          <w:p>
            <w:pPr>
              <w:pStyle w:val="2"/>
              <w:jc w:val="center"/>
              <w:rPr>
                <w:rFonts w:hint="eastAsia"/>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只</w:t>
            </w:r>
          </w:p>
        </w:tc>
        <w:tc>
          <w:tcPr>
            <w:tcW w:w="865" w:type="dxa"/>
          </w:tcPr>
          <w:p>
            <w:pPr>
              <w:pStyle w:val="2"/>
              <w:jc w:val="center"/>
              <w:rPr>
                <w:rFonts w:hint="default"/>
                <w:sz w:val="24"/>
                <w:szCs w:val="24"/>
                <w:vertAlign w:val="baseline"/>
                <w:lang w:val="en-US" w:eastAsia="zh-CN"/>
              </w:rPr>
            </w:pP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9</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绝缘子</w:t>
            </w:r>
          </w:p>
        </w:tc>
        <w:tc>
          <w:tcPr>
            <w:tcW w:w="2296" w:type="dxa"/>
          </w:tcPr>
          <w:p>
            <w:pPr>
              <w:pStyle w:val="2"/>
              <w:jc w:val="center"/>
              <w:rPr>
                <w:rFonts w:hint="default"/>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只</w:t>
            </w:r>
          </w:p>
        </w:tc>
        <w:tc>
          <w:tcPr>
            <w:tcW w:w="865" w:type="dxa"/>
          </w:tcPr>
          <w:p>
            <w:pPr>
              <w:pStyle w:val="2"/>
              <w:jc w:val="center"/>
              <w:rPr>
                <w:rFonts w:hint="default"/>
                <w:sz w:val="24"/>
                <w:szCs w:val="24"/>
                <w:vertAlign w:val="baseline"/>
                <w:lang w:val="en-US" w:eastAsia="zh-CN"/>
              </w:rPr>
            </w:pP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10</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穿墙套管</w:t>
            </w:r>
          </w:p>
        </w:tc>
        <w:tc>
          <w:tcPr>
            <w:tcW w:w="2296" w:type="dxa"/>
          </w:tcPr>
          <w:p>
            <w:pPr>
              <w:pStyle w:val="2"/>
              <w:jc w:val="center"/>
              <w:rPr>
                <w:rFonts w:hint="eastAsia"/>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只</w:t>
            </w:r>
          </w:p>
        </w:tc>
        <w:tc>
          <w:tcPr>
            <w:tcW w:w="865" w:type="dxa"/>
          </w:tcPr>
          <w:p>
            <w:pPr>
              <w:pStyle w:val="2"/>
              <w:jc w:val="center"/>
              <w:rPr>
                <w:rFonts w:hint="default"/>
                <w:sz w:val="24"/>
                <w:szCs w:val="24"/>
                <w:vertAlign w:val="baseline"/>
                <w:lang w:val="en-US" w:eastAsia="zh-CN"/>
              </w:rPr>
            </w:pP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11</w:t>
            </w:r>
          </w:p>
        </w:tc>
        <w:tc>
          <w:tcPr>
            <w:tcW w:w="2402"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辅助材料</w:t>
            </w:r>
          </w:p>
        </w:tc>
        <w:tc>
          <w:tcPr>
            <w:tcW w:w="2296" w:type="dxa"/>
          </w:tcPr>
          <w:p>
            <w:pPr>
              <w:pStyle w:val="2"/>
              <w:jc w:val="center"/>
              <w:rPr>
                <w:rFonts w:hint="eastAsia"/>
                <w:sz w:val="24"/>
                <w:szCs w:val="24"/>
                <w:vertAlign w:val="baseline"/>
                <w:lang w:val="en-US" w:eastAsia="zh-CN"/>
              </w:rPr>
            </w:pPr>
          </w:p>
        </w:tc>
        <w:tc>
          <w:tcPr>
            <w:tcW w:w="1143"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项</w:t>
            </w:r>
          </w:p>
        </w:tc>
        <w:tc>
          <w:tcPr>
            <w:tcW w:w="865" w:type="dxa"/>
          </w:tcPr>
          <w:p>
            <w:pPr>
              <w:pStyle w:val="2"/>
              <w:jc w:val="center"/>
              <w:rPr>
                <w:rFonts w:hint="eastAsia"/>
                <w:sz w:val="24"/>
                <w:szCs w:val="24"/>
                <w:vertAlign w:val="baseline"/>
                <w:lang w:val="en-US" w:eastAsia="zh-CN"/>
              </w:rPr>
            </w:pPr>
          </w:p>
        </w:tc>
        <w:tc>
          <w:tcPr>
            <w:tcW w:w="1292" w:type="dxa"/>
          </w:tcPr>
          <w:p>
            <w:pPr>
              <w:pStyle w:val="2"/>
              <w:jc w:val="center"/>
              <w:rPr>
                <w:rFonts w:hint="eastAsia"/>
                <w:sz w:val="24"/>
                <w:szCs w:val="24"/>
                <w:vertAlign w:val="baseline"/>
                <w:lang w:val="en-US" w:eastAsia="zh-CN"/>
              </w:rPr>
            </w:pPr>
          </w:p>
        </w:tc>
        <w:tc>
          <w:tcPr>
            <w:tcW w:w="1004" w:type="dxa"/>
          </w:tcPr>
          <w:p>
            <w:pPr>
              <w:pStyle w:val="2"/>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5" w:type="dxa"/>
          </w:tcPr>
          <w:p>
            <w:pPr>
              <w:pStyle w:val="2"/>
              <w:jc w:val="center"/>
              <w:rPr>
                <w:rFonts w:hint="default"/>
                <w:sz w:val="24"/>
                <w:szCs w:val="24"/>
                <w:vertAlign w:val="baseline"/>
                <w:lang w:val="en-US" w:eastAsia="zh-CN"/>
              </w:rPr>
            </w:pPr>
            <w:r>
              <w:rPr>
                <w:rFonts w:hint="eastAsia"/>
                <w:sz w:val="24"/>
                <w:szCs w:val="24"/>
                <w:vertAlign w:val="baseline"/>
                <w:lang w:val="en-US" w:eastAsia="zh-CN"/>
              </w:rPr>
              <w:t>12</w:t>
            </w:r>
          </w:p>
        </w:tc>
        <w:tc>
          <w:tcPr>
            <w:tcW w:w="4698" w:type="dxa"/>
            <w:gridSpan w:val="2"/>
          </w:tcPr>
          <w:p>
            <w:pPr>
              <w:pStyle w:val="2"/>
              <w:jc w:val="center"/>
              <w:rPr>
                <w:rFonts w:hint="eastAsia"/>
                <w:sz w:val="24"/>
                <w:szCs w:val="24"/>
                <w:vertAlign w:val="baseline"/>
                <w:lang w:val="en-US" w:eastAsia="zh-CN"/>
              </w:rPr>
            </w:pPr>
            <w:r>
              <w:rPr>
                <w:rFonts w:hint="eastAsia"/>
                <w:sz w:val="24"/>
                <w:szCs w:val="24"/>
                <w:vertAlign w:val="baseline"/>
                <w:lang w:val="en-US" w:eastAsia="zh-CN"/>
              </w:rPr>
              <w:t>合计</w:t>
            </w:r>
          </w:p>
        </w:tc>
        <w:tc>
          <w:tcPr>
            <w:tcW w:w="4304" w:type="dxa"/>
            <w:gridSpan w:val="4"/>
          </w:tcPr>
          <w:p>
            <w:pPr>
              <w:pStyle w:val="2"/>
              <w:jc w:val="center"/>
              <w:rPr>
                <w:rFonts w:hint="eastAsia"/>
                <w:sz w:val="24"/>
                <w:szCs w:val="24"/>
                <w:vertAlign w:val="baseline"/>
                <w:lang w:val="en-US" w:eastAsia="zh-CN"/>
              </w:rPr>
            </w:pPr>
          </w:p>
        </w:tc>
      </w:tr>
    </w:tbl>
    <w:p>
      <w:pPr>
        <w:pStyle w:val="2"/>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附件2：合同主要条款</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default"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青莲欧洲院子电力抢险</w:t>
      </w:r>
    </w:p>
    <w:p>
      <w:pPr>
        <w:keepNext w:val="0"/>
        <w:keepLines w:val="0"/>
        <w:pageBreakBefore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施工</w:t>
      </w:r>
      <w:r>
        <w:rPr>
          <w:rFonts w:hint="eastAsia" w:ascii="方正小标宋简体" w:hAnsi="方正小标宋简体" w:eastAsia="方正小标宋简体" w:cs="方正小标宋简体"/>
          <w:b w:val="0"/>
          <w:bCs w:val="0"/>
          <w:sz w:val="44"/>
          <w:szCs w:val="44"/>
        </w:rPr>
        <w:t>合同</w:t>
      </w:r>
    </w:p>
    <w:p>
      <w:pPr>
        <w:spacing w:line="60" w:lineRule="atLeast"/>
        <w:jc w:val="left"/>
        <w:rPr>
          <w:rFonts w:ascii="宋体" w:hAnsi="宋体" w:cs="宋体"/>
          <w:sz w:val="24"/>
        </w:rPr>
      </w:pPr>
    </w:p>
    <w:p>
      <w:pPr>
        <w:rPr>
          <w:rFonts w:ascii="宋体" w:hAnsi="宋体" w:cs="宋体"/>
          <w:b/>
          <w:bCs/>
          <w:sz w:val="32"/>
          <w:szCs w:val="32"/>
        </w:rPr>
      </w:pPr>
      <w:r>
        <w:rPr>
          <w:rFonts w:hint="eastAsia" w:ascii="宋体" w:hAnsi="宋体" w:cs="宋体"/>
          <w:b/>
          <w:bCs/>
          <w:sz w:val="32"/>
          <w:szCs w:val="32"/>
        </w:rPr>
        <w:t>甲方（发包方）：江油蜀游酒店管理有限公司青莲分公司</w:t>
      </w:r>
    </w:p>
    <w:p>
      <w:pPr>
        <w:rPr>
          <w:rFonts w:ascii="宋体" w:hAnsi="宋体" w:cs="宋体"/>
          <w:b/>
          <w:bCs/>
          <w:sz w:val="32"/>
          <w:szCs w:val="32"/>
        </w:rPr>
      </w:pPr>
    </w:p>
    <w:p>
      <w:pPr>
        <w:rPr>
          <w:rFonts w:ascii="宋体" w:hAnsi="宋体" w:cs="宋体"/>
          <w:b/>
          <w:bCs/>
          <w:sz w:val="32"/>
          <w:szCs w:val="32"/>
        </w:rPr>
      </w:pPr>
      <w:r>
        <w:rPr>
          <w:rFonts w:hint="eastAsia" w:ascii="宋体" w:hAnsi="宋体" w:cs="宋体"/>
          <w:b/>
          <w:bCs/>
          <w:sz w:val="32"/>
          <w:szCs w:val="32"/>
        </w:rPr>
        <w:t>乙方（承包方）：</w:t>
      </w:r>
    </w:p>
    <w:p>
      <w:pPr>
        <w:rPr>
          <w:rFonts w:ascii="宋体" w:hAnsi="宋体" w:cs="宋体"/>
          <w:b/>
          <w:bCs/>
          <w:sz w:val="32"/>
          <w:szCs w:val="32"/>
        </w:rPr>
      </w:pPr>
    </w:p>
    <w:p>
      <w:pPr>
        <w:rPr>
          <w:rFonts w:ascii="宋体" w:hAnsi="宋体" w:cs="宋体"/>
          <w:b/>
          <w:bCs/>
          <w:sz w:val="32"/>
          <w:szCs w:val="32"/>
        </w:rPr>
      </w:pPr>
      <w:r>
        <w:rPr>
          <w:rFonts w:hint="eastAsia" w:ascii="宋体" w:hAnsi="宋体" w:cs="宋体"/>
          <w:b/>
          <w:bCs/>
          <w:sz w:val="32"/>
          <w:szCs w:val="32"/>
        </w:rPr>
        <w:t>签订时间：2023年  月 日</w:t>
      </w:r>
    </w:p>
    <w:p>
      <w:pPr>
        <w:rPr>
          <w:rFonts w:ascii="宋体" w:hAnsi="宋体" w:cs="宋体"/>
          <w:b/>
          <w:bCs/>
          <w:sz w:val="32"/>
          <w:szCs w:val="32"/>
        </w:rPr>
      </w:pPr>
    </w:p>
    <w:p>
      <w:pPr>
        <w:rPr>
          <w:rFonts w:ascii="宋体" w:hAnsi="宋体" w:cs="宋体"/>
          <w:b/>
          <w:bCs/>
          <w:sz w:val="32"/>
          <w:szCs w:val="32"/>
        </w:rPr>
      </w:pPr>
      <w:r>
        <w:rPr>
          <w:rFonts w:hint="eastAsia" w:ascii="宋体" w:hAnsi="宋体" w:cs="宋体"/>
          <w:b/>
          <w:bCs/>
          <w:sz w:val="32"/>
          <w:szCs w:val="32"/>
        </w:rPr>
        <w:t>签订地点：   江 油 市</w:t>
      </w:r>
    </w:p>
    <w:p>
      <w:pPr>
        <w:jc w:val="center"/>
        <w:rPr>
          <w:rFonts w:ascii="宋体" w:hAnsi="宋体" w:cs="宋体"/>
          <w:b/>
          <w:sz w:val="52"/>
          <w:szCs w:val="52"/>
        </w:rPr>
      </w:pPr>
    </w:p>
    <w:p>
      <w:pPr>
        <w:spacing w:line="620" w:lineRule="exact"/>
        <w:rPr>
          <w:rFonts w:ascii="黑体" w:hAnsi="宋体" w:eastAsia="黑体"/>
          <w:color w:val="000000"/>
          <w:sz w:val="28"/>
          <w:szCs w:val="28"/>
        </w:rPr>
      </w:pPr>
    </w:p>
    <w:p>
      <w:pPr>
        <w:rPr>
          <w:rFonts w:ascii="黑体" w:hAnsi="宋体" w:eastAsia="黑体"/>
          <w:color w:val="000000"/>
          <w:sz w:val="28"/>
          <w:szCs w:val="28"/>
        </w:rPr>
      </w:pPr>
    </w:p>
    <w:p>
      <w:pPr>
        <w:rPr>
          <w:rFonts w:ascii="宋体" w:hAnsi="宋体" w:cs="宋体"/>
          <w:b/>
          <w:bCs/>
          <w:sz w:val="32"/>
          <w:szCs w:val="32"/>
        </w:rPr>
      </w:pPr>
      <w:r>
        <w:rPr>
          <w:rFonts w:hint="eastAsia" w:ascii="黑体" w:hAnsi="宋体" w:eastAsia="黑体"/>
          <w:color w:val="000000"/>
          <w:sz w:val="28"/>
          <w:szCs w:val="28"/>
        </w:rPr>
        <w:t>甲方</w:t>
      </w:r>
      <w:r>
        <w:rPr>
          <w:rFonts w:hint="eastAsia" w:ascii="黑体" w:hAnsi="宋体" w:eastAsia="黑体"/>
          <w:color w:val="000000"/>
          <w:sz w:val="28"/>
          <w:szCs w:val="28"/>
          <w:lang w:eastAsia="zh-CN"/>
        </w:rPr>
        <w:t>：</w:t>
      </w:r>
      <w:r>
        <w:rPr>
          <w:rFonts w:hint="eastAsia" w:ascii="宋体" w:hAnsi="宋体" w:cs="宋体"/>
          <w:b/>
          <w:bCs/>
          <w:sz w:val="32"/>
          <w:szCs w:val="32"/>
        </w:rPr>
        <w:t>江油蜀游酒店管理有限公司青莲分公司</w:t>
      </w:r>
    </w:p>
    <w:p>
      <w:pPr>
        <w:rPr>
          <w:rFonts w:ascii="宋体" w:hAnsi="宋体" w:cs="宋体"/>
          <w:b/>
          <w:bCs/>
          <w:sz w:val="32"/>
          <w:szCs w:val="32"/>
        </w:rPr>
      </w:pPr>
      <w:r>
        <w:rPr>
          <w:rFonts w:hint="eastAsia" w:ascii="黑体" w:hAnsi="宋体" w:eastAsia="黑体"/>
          <w:color w:val="000000"/>
          <w:sz w:val="28"/>
          <w:szCs w:val="28"/>
        </w:rPr>
        <w:t>乙方：</w:t>
      </w:r>
    </w:p>
    <w:p>
      <w:pPr>
        <w:rPr>
          <w:rFonts w:ascii="宋体" w:hAnsi="宋体" w:cs="宋体"/>
          <w:sz w:val="28"/>
          <w:szCs w:val="28"/>
        </w:rPr>
      </w:pPr>
      <w:r>
        <w:rPr>
          <w:rFonts w:hint="eastAsia" w:ascii="宋体" w:hAnsi="宋体" w:cs="宋体"/>
          <w:sz w:val="28"/>
          <w:szCs w:val="28"/>
        </w:rPr>
        <w:t>根据《中华人民共和国民法典》有关法律法规的规定，</w:t>
      </w:r>
      <w:r>
        <w:rPr>
          <w:rFonts w:hint="eastAsia" w:ascii="宋体" w:hAnsi="宋体" w:cs="宋体"/>
          <w:b/>
          <w:bCs/>
          <w:sz w:val="28"/>
          <w:szCs w:val="28"/>
        </w:rPr>
        <w:t>江油蜀游酒店管理有限公司青莲分公司将“</w:t>
      </w:r>
      <w:r>
        <w:rPr>
          <w:rFonts w:hint="eastAsia" w:ascii="宋体" w:hAnsi="宋体" w:cs="宋体"/>
          <w:b/>
          <w:sz w:val="28"/>
          <w:szCs w:val="28"/>
        </w:rPr>
        <w:t>江油市青莲镇诗歌小镇欧洲院子500kVA箱变电力抢修项目承包给</w:t>
      </w:r>
      <w:r>
        <w:rPr>
          <w:rFonts w:hint="eastAsia" w:ascii="宋体" w:hAnsi="宋体" w:eastAsia="宋体" w:cs="宋体"/>
          <w:b/>
          <w:sz w:val="28"/>
          <w:szCs w:val="28"/>
          <w:u w:val="single"/>
          <w:lang w:val="en-US" w:eastAsia="zh-CN"/>
        </w:rPr>
        <w:t xml:space="preserve">             </w:t>
      </w:r>
      <w:r>
        <w:rPr>
          <w:rFonts w:hint="eastAsia" w:ascii="宋体" w:hAnsi="宋体" w:cs="宋体"/>
          <w:b/>
          <w:bCs/>
          <w:sz w:val="28"/>
          <w:szCs w:val="28"/>
        </w:rPr>
        <w:t>施工。</w:t>
      </w:r>
      <w:r>
        <w:rPr>
          <w:rFonts w:hint="eastAsia" w:ascii="宋体" w:hAnsi="宋体" w:cs="宋体"/>
          <w:sz w:val="28"/>
          <w:szCs w:val="28"/>
        </w:rPr>
        <w:t>为保证该工程</w:t>
      </w:r>
      <w:r>
        <w:rPr>
          <w:rFonts w:hint="eastAsia"/>
          <w:sz w:val="28"/>
          <w:szCs w:val="28"/>
        </w:rPr>
        <w:t>按期、保质完成，明确双方职责，</w:t>
      </w:r>
      <w:r>
        <w:rPr>
          <w:rFonts w:hint="eastAsia" w:ascii="宋体" w:hAnsi="宋体" w:cs="宋体"/>
          <w:sz w:val="28"/>
          <w:szCs w:val="28"/>
        </w:rPr>
        <w:t>双方本着平等、自愿、公平和诚实守信的原则，结合本工程的具体情况，经双方协商一致，签订本合同。</w:t>
      </w:r>
    </w:p>
    <w:p>
      <w:pPr>
        <w:spacing w:line="620" w:lineRule="exact"/>
        <w:ind w:firstLine="280" w:firstLineChars="100"/>
        <w:rPr>
          <w:rFonts w:ascii="宋体" w:hAnsi="宋体"/>
          <w:b/>
          <w:sz w:val="32"/>
          <w:szCs w:val="32"/>
        </w:rPr>
      </w:pPr>
      <w:r>
        <w:rPr>
          <w:rFonts w:hint="eastAsia" w:ascii="宋体" w:hAnsi="宋体"/>
          <w:bCs/>
          <w:sz w:val="28"/>
          <w:szCs w:val="28"/>
        </w:rPr>
        <w:t>第一条 工程地点：</w:t>
      </w:r>
      <w:r>
        <w:rPr>
          <w:rFonts w:hint="eastAsia" w:ascii="宋体" w:hAnsi="宋体" w:cs="宋体"/>
          <w:bCs/>
          <w:sz w:val="28"/>
          <w:szCs w:val="28"/>
        </w:rPr>
        <w:t>江油市青莲镇诗歌小镇欧洲院子。</w:t>
      </w:r>
    </w:p>
    <w:p>
      <w:pPr>
        <w:spacing w:line="620" w:lineRule="exact"/>
        <w:ind w:firstLine="280" w:firstLineChars="100"/>
        <w:rPr>
          <w:rFonts w:ascii="宋体" w:hAnsi="宋体"/>
          <w:bCs/>
          <w:sz w:val="28"/>
          <w:szCs w:val="28"/>
        </w:rPr>
      </w:pPr>
      <w:r>
        <w:rPr>
          <w:rFonts w:hint="eastAsia" w:ascii="宋体" w:hAnsi="宋体"/>
          <w:bCs/>
          <w:sz w:val="28"/>
          <w:szCs w:val="28"/>
        </w:rPr>
        <w:t>第二条 工程情况：</w:t>
      </w:r>
    </w:p>
    <w:p>
      <w:pPr>
        <w:spacing w:line="620" w:lineRule="exact"/>
        <w:ind w:firstLine="280" w:firstLineChars="100"/>
        <w:rPr>
          <w:rFonts w:ascii="宋体" w:hAnsi="宋体"/>
          <w:bCs/>
          <w:sz w:val="28"/>
          <w:szCs w:val="28"/>
        </w:rPr>
      </w:pPr>
      <w:r>
        <w:rPr>
          <w:rFonts w:hint="eastAsia" w:ascii="宋体" w:hAnsi="宋体"/>
          <w:bCs/>
          <w:sz w:val="28"/>
          <w:szCs w:val="28"/>
        </w:rPr>
        <w:t>1、原环网柜是一进两出，一路是竹园公司使用，一路是城投欧洲院子使用，目前是城投欧洲院子分线箱损坏，因环网柜是一个整体，要换就得一起更换，为节约成本在环网柜旁边新增一块设备基础，新增1台一进二出环网柜、高压电缆和电力线管各约20米以及电缆附件等材料。</w:t>
      </w:r>
    </w:p>
    <w:p>
      <w:pPr>
        <w:spacing w:line="620" w:lineRule="exact"/>
        <w:ind w:firstLine="280" w:firstLineChars="100"/>
        <w:rPr>
          <w:rFonts w:ascii="宋体" w:hAnsi="宋体"/>
          <w:bCs/>
          <w:sz w:val="28"/>
          <w:szCs w:val="28"/>
        </w:rPr>
      </w:pPr>
      <w:r>
        <w:rPr>
          <w:rFonts w:hint="eastAsia" w:ascii="宋体" w:hAnsi="宋体"/>
          <w:bCs/>
          <w:sz w:val="28"/>
          <w:szCs w:val="28"/>
        </w:rPr>
        <w:t>2.500KVA箱变更换设备，高压负荷开关、高压熔断器、计量互感器、高压传感器、绝缘子、穿墙套管，及辅助材料</w:t>
      </w:r>
    </w:p>
    <w:p>
      <w:pPr>
        <w:spacing w:line="620" w:lineRule="exact"/>
        <w:ind w:firstLine="280" w:firstLineChars="100"/>
        <w:rPr>
          <w:rFonts w:ascii="宋体" w:hAnsi="宋体"/>
          <w:bCs/>
          <w:sz w:val="28"/>
          <w:szCs w:val="28"/>
        </w:rPr>
      </w:pPr>
      <w:r>
        <w:rPr>
          <w:rFonts w:hint="eastAsia" w:ascii="宋体" w:hAnsi="宋体"/>
          <w:bCs/>
          <w:sz w:val="28"/>
          <w:szCs w:val="28"/>
        </w:rPr>
        <w:t>3.维修周期：预计7天时间；因不可抗力因素则时间顺延。</w:t>
      </w:r>
    </w:p>
    <w:p>
      <w:pPr>
        <w:spacing w:line="620" w:lineRule="exact"/>
        <w:ind w:firstLine="280" w:firstLineChars="100"/>
        <w:rPr>
          <w:rFonts w:ascii="宋体" w:hAnsi="宋体"/>
          <w:bCs/>
          <w:sz w:val="28"/>
          <w:szCs w:val="28"/>
        </w:rPr>
      </w:pPr>
      <w:r>
        <w:rPr>
          <w:rFonts w:hint="eastAsia" w:ascii="宋体" w:hAnsi="宋体"/>
          <w:bCs/>
          <w:sz w:val="28"/>
          <w:szCs w:val="28"/>
        </w:rPr>
        <w:t>4.需协调供电局申请停电（停电时间计划3小时），申请计量互感器校验。</w:t>
      </w:r>
    </w:p>
    <w:p>
      <w:pPr>
        <w:numPr>
          <w:ilvl w:val="0"/>
          <w:numId w:val="4"/>
        </w:numPr>
        <w:spacing w:line="620" w:lineRule="exact"/>
        <w:ind w:firstLine="280" w:firstLineChars="100"/>
        <w:rPr>
          <w:rFonts w:ascii="宋体" w:hAnsi="宋体" w:cs="宋体"/>
          <w:b w:val="0"/>
          <w:bCs w:val="0"/>
          <w:sz w:val="28"/>
          <w:szCs w:val="28"/>
        </w:rPr>
      </w:pPr>
      <w:r>
        <w:rPr>
          <w:rFonts w:hint="eastAsia" w:ascii="宋体" w:hAnsi="宋体" w:cs="宋体"/>
          <w:bCs/>
          <w:sz w:val="28"/>
          <w:szCs w:val="28"/>
        </w:rPr>
        <w:t xml:space="preserve"> 工程合同总价：本工程合同总价（含税价）</w:t>
      </w:r>
      <w:r>
        <w:rPr>
          <w:rFonts w:hint="eastAsia" w:ascii="宋体" w:hAnsi="宋体" w:eastAsia="宋体" w:cs="宋体"/>
          <w:b/>
          <w:bCs/>
          <w:sz w:val="28"/>
          <w:szCs w:val="28"/>
          <w:u w:val="single"/>
          <w:lang w:val="en-US" w:eastAsia="zh-CN"/>
        </w:rPr>
        <w:t xml:space="preserve">         </w:t>
      </w:r>
      <w:r>
        <w:rPr>
          <w:rFonts w:hint="eastAsia" w:ascii="宋体" w:hAnsi="宋体" w:cs="宋体"/>
          <w:b w:val="0"/>
          <w:bCs w:val="0"/>
          <w:sz w:val="28"/>
          <w:szCs w:val="28"/>
          <w:u w:val="single"/>
        </w:rPr>
        <w:t>元</w:t>
      </w:r>
      <w:r>
        <w:rPr>
          <w:rFonts w:hint="eastAsia" w:ascii="宋体" w:hAnsi="宋体" w:cs="宋体"/>
          <w:b w:val="0"/>
          <w:bCs w:val="0"/>
          <w:sz w:val="28"/>
          <w:szCs w:val="28"/>
        </w:rPr>
        <w:t>（大写人民币：</w:t>
      </w:r>
      <w:r>
        <w:rPr>
          <w:rFonts w:hint="eastAsia" w:ascii="宋体" w:hAnsi="宋体" w:eastAsia="宋体" w:cs="宋体"/>
          <w:b w:val="0"/>
          <w:bCs w:val="0"/>
          <w:sz w:val="28"/>
          <w:szCs w:val="28"/>
          <w:lang w:val="en-US" w:eastAsia="zh-CN"/>
        </w:rPr>
        <w:t xml:space="preserve">            </w:t>
      </w:r>
      <w:r>
        <w:rPr>
          <w:rFonts w:hint="eastAsia" w:ascii="宋体" w:hAnsi="宋体" w:cs="宋体"/>
          <w:b w:val="0"/>
          <w:bCs w:val="0"/>
          <w:sz w:val="28"/>
          <w:szCs w:val="28"/>
        </w:rPr>
        <w:t>。）</w:t>
      </w:r>
    </w:p>
    <w:p>
      <w:pPr>
        <w:numPr>
          <w:ilvl w:val="0"/>
          <w:numId w:val="4"/>
        </w:numPr>
        <w:spacing w:line="620" w:lineRule="exact"/>
        <w:ind w:firstLine="280" w:firstLineChars="100"/>
        <w:rPr>
          <w:rFonts w:ascii="宋体" w:hAnsi="宋体"/>
          <w:color w:val="000000"/>
          <w:sz w:val="28"/>
          <w:szCs w:val="28"/>
        </w:rPr>
      </w:pPr>
      <w:r>
        <w:rPr>
          <w:rFonts w:hint="eastAsia" w:ascii="宋体" w:hAnsi="宋体"/>
          <w:bCs/>
          <w:sz w:val="28"/>
          <w:szCs w:val="28"/>
        </w:rPr>
        <w:t>付款方式：合同签订后，甲方预付70%到乙方账户后，乙方开始组织施工；</w:t>
      </w:r>
      <w:r>
        <w:rPr>
          <w:rFonts w:hint="eastAsia" w:ascii="宋体" w:hAnsi="宋体"/>
          <w:color w:val="000000"/>
          <w:sz w:val="28"/>
          <w:szCs w:val="28"/>
        </w:rPr>
        <w:t>工程抢修后按国家标准调试运转正常，甲方一个月后支付总价款的25%；剩余5%作为质保金，质保期</w:t>
      </w:r>
      <w:r>
        <w:rPr>
          <w:rFonts w:hint="eastAsia" w:ascii="宋体" w:hAnsi="宋体" w:eastAsia="宋体"/>
          <w:color w:val="000000"/>
          <w:sz w:val="28"/>
          <w:szCs w:val="28"/>
          <w:lang w:eastAsia="zh-CN"/>
        </w:rPr>
        <w:t>：</w:t>
      </w:r>
      <w:r>
        <w:rPr>
          <w:rFonts w:hint="eastAsia" w:ascii="宋体" w:hAnsi="宋体" w:eastAsia="宋体"/>
          <w:color w:val="000000"/>
          <w:sz w:val="28"/>
          <w:szCs w:val="28"/>
          <w:lang w:val="en-US" w:eastAsia="zh-CN"/>
        </w:rPr>
        <w:t>12个月</w:t>
      </w:r>
      <w:r>
        <w:rPr>
          <w:rFonts w:hint="eastAsia" w:ascii="宋体" w:hAnsi="宋体"/>
          <w:color w:val="000000"/>
          <w:sz w:val="28"/>
          <w:szCs w:val="28"/>
        </w:rPr>
        <w:t>。</w:t>
      </w:r>
    </w:p>
    <w:p>
      <w:pPr>
        <w:pStyle w:val="3"/>
        <w:spacing w:line="620" w:lineRule="exact"/>
        <w:ind w:firstLine="280" w:firstLineChars="100"/>
        <w:rPr>
          <w:sz w:val="28"/>
          <w:szCs w:val="28"/>
        </w:rPr>
      </w:pPr>
      <w:r>
        <w:rPr>
          <w:rFonts w:hint="eastAsia"/>
          <w:sz w:val="28"/>
          <w:szCs w:val="28"/>
        </w:rPr>
        <w:t>第五条 甲方工作</w:t>
      </w:r>
    </w:p>
    <w:p>
      <w:pPr>
        <w:pStyle w:val="3"/>
        <w:spacing w:line="620" w:lineRule="exact"/>
        <w:rPr>
          <w:sz w:val="28"/>
          <w:szCs w:val="28"/>
        </w:rPr>
      </w:pPr>
      <w:r>
        <w:rPr>
          <w:rFonts w:hint="eastAsia"/>
          <w:sz w:val="28"/>
          <w:szCs w:val="28"/>
        </w:rPr>
        <w:t>一、施工场地具备开工条件和完成时间要求，甲方负责在开工前做好安全监护、安全交底等相关工作。</w:t>
      </w:r>
    </w:p>
    <w:p>
      <w:pPr>
        <w:pStyle w:val="3"/>
        <w:spacing w:line="620" w:lineRule="exact"/>
        <w:rPr>
          <w:sz w:val="28"/>
          <w:szCs w:val="28"/>
        </w:rPr>
      </w:pPr>
      <w:r>
        <w:rPr>
          <w:rFonts w:hint="eastAsia"/>
          <w:sz w:val="28"/>
          <w:szCs w:val="28"/>
        </w:rPr>
        <w:t>二、负责对工程进行竣工验收，对质量不合格工程，有权责令乙方返工，直至合格为止。</w:t>
      </w:r>
    </w:p>
    <w:p>
      <w:pPr>
        <w:pStyle w:val="3"/>
        <w:spacing w:line="620" w:lineRule="exact"/>
        <w:ind w:firstLine="280" w:firstLineChars="100"/>
        <w:rPr>
          <w:sz w:val="28"/>
          <w:szCs w:val="28"/>
        </w:rPr>
      </w:pPr>
      <w:r>
        <w:rPr>
          <w:rFonts w:hint="eastAsia"/>
          <w:sz w:val="28"/>
          <w:szCs w:val="28"/>
        </w:rPr>
        <w:t>第六条 乙方工作</w:t>
      </w:r>
    </w:p>
    <w:p>
      <w:pPr>
        <w:pStyle w:val="3"/>
        <w:spacing w:line="620" w:lineRule="exact"/>
        <w:rPr>
          <w:sz w:val="28"/>
          <w:szCs w:val="28"/>
        </w:rPr>
      </w:pPr>
      <w:r>
        <w:rPr>
          <w:rFonts w:hint="eastAsia"/>
          <w:sz w:val="28"/>
          <w:szCs w:val="28"/>
        </w:rPr>
        <w:t>一、按照国家电力工程质量验评标准，担负施工任务。</w:t>
      </w:r>
    </w:p>
    <w:p>
      <w:pPr>
        <w:pStyle w:val="3"/>
        <w:spacing w:line="620" w:lineRule="exact"/>
        <w:rPr>
          <w:sz w:val="28"/>
          <w:szCs w:val="28"/>
        </w:rPr>
      </w:pPr>
      <w:r>
        <w:rPr>
          <w:rFonts w:hint="eastAsia"/>
          <w:sz w:val="28"/>
          <w:szCs w:val="28"/>
        </w:rPr>
        <w:t>二、与甲方签定工程施工合同，并接受甲方管理人员对所有施工工程的质量检查监督。</w:t>
      </w:r>
    </w:p>
    <w:p>
      <w:pPr>
        <w:pStyle w:val="3"/>
        <w:spacing w:line="620" w:lineRule="exact"/>
        <w:rPr>
          <w:sz w:val="28"/>
          <w:szCs w:val="28"/>
        </w:rPr>
      </w:pPr>
      <w:r>
        <w:rPr>
          <w:rFonts w:hint="eastAsia"/>
          <w:sz w:val="28"/>
          <w:szCs w:val="28"/>
        </w:rPr>
        <w:t>三、在工程施工前，必须向甲方出具施工资质相关证件及书面的施工方案，经甲方同意后，方可进行工程施工。工程竣工后，向甲方提出书面竣工申请，配合甲方做好工程竣工验收工作。</w:t>
      </w:r>
    </w:p>
    <w:p>
      <w:pPr>
        <w:pStyle w:val="3"/>
        <w:spacing w:line="620" w:lineRule="exact"/>
        <w:rPr>
          <w:sz w:val="28"/>
          <w:szCs w:val="28"/>
        </w:rPr>
      </w:pPr>
      <w:r>
        <w:rPr>
          <w:rFonts w:hint="eastAsia"/>
          <w:sz w:val="28"/>
          <w:szCs w:val="28"/>
        </w:rPr>
        <w:t>四、对甲方检查中发现的不合格工程，乙方必须无条件返工，确保工程质量达到合同约定的验收标准。</w:t>
      </w:r>
    </w:p>
    <w:p>
      <w:pPr>
        <w:pStyle w:val="3"/>
        <w:spacing w:line="620" w:lineRule="exact"/>
        <w:rPr>
          <w:sz w:val="28"/>
          <w:szCs w:val="28"/>
        </w:rPr>
      </w:pPr>
      <w:r>
        <w:rPr>
          <w:rFonts w:hint="eastAsia"/>
          <w:sz w:val="28"/>
          <w:szCs w:val="28"/>
        </w:rPr>
        <w:t>五、做好施工现场的保护工作。</w:t>
      </w:r>
    </w:p>
    <w:p>
      <w:pPr>
        <w:pStyle w:val="3"/>
        <w:spacing w:line="620" w:lineRule="exact"/>
        <w:rPr>
          <w:sz w:val="28"/>
          <w:szCs w:val="28"/>
        </w:rPr>
      </w:pPr>
      <w:r>
        <w:rPr>
          <w:rFonts w:hint="eastAsia"/>
          <w:sz w:val="28"/>
          <w:szCs w:val="28"/>
        </w:rPr>
        <w:t>六、保证施工现场清洁符合有关规定，交工前清理现场符合要求，承担违反有关规定的损失和罚款。</w:t>
      </w:r>
    </w:p>
    <w:p>
      <w:pPr>
        <w:pStyle w:val="3"/>
        <w:spacing w:line="620" w:lineRule="exact"/>
        <w:ind w:firstLine="280" w:firstLineChars="100"/>
        <w:rPr>
          <w:sz w:val="28"/>
          <w:szCs w:val="28"/>
        </w:rPr>
      </w:pPr>
      <w:r>
        <w:rPr>
          <w:rFonts w:hint="eastAsia"/>
          <w:sz w:val="28"/>
          <w:szCs w:val="28"/>
        </w:rPr>
        <w:t>第七条 安全施工：在工程施工中，乙方确保工程施工科学、安全，因乙方原因造成的工程质量、财产损失和人身伤害，由乙方承担责任，甲方概不负责；由于乙方施工原因造成他人财产、人身损害的由乙方承担赔偿责任。</w:t>
      </w:r>
    </w:p>
    <w:p>
      <w:pPr>
        <w:pStyle w:val="3"/>
        <w:spacing w:line="620" w:lineRule="exact"/>
        <w:ind w:firstLine="280" w:firstLineChars="100"/>
        <w:rPr>
          <w:sz w:val="28"/>
          <w:szCs w:val="28"/>
        </w:rPr>
      </w:pPr>
      <w:r>
        <w:rPr>
          <w:rFonts w:hint="eastAsia"/>
          <w:sz w:val="28"/>
          <w:szCs w:val="28"/>
        </w:rPr>
        <w:t>第八条 工程质量等级：工程质量等级按电力行业优质工程执行。乙方如达不到约定条件的部分，甲方代表一经发现，可要求乙方返工，乙方应按甲方代表要求的时间返工，直至符合约定条件，因乙方原因达不到约定条件的，由乙方承担返工费用，工期不予顺延。返工后仍不能达到约定条件的，乙方承担违约责任。</w:t>
      </w:r>
    </w:p>
    <w:p>
      <w:pPr>
        <w:pStyle w:val="3"/>
        <w:spacing w:line="620" w:lineRule="exact"/>
        <w:ind w:firstLine="280" w:firstLineChars="100"/>
        <w:rPr>
          <w:sz w:val="28"/>
          <w:szCs w:val="28"/>
        </w:rPr>
      </w:pPr>
      <w:r>
        <w:rPr>
          <w:rFonts w:hint="eastAsia"/>
          <w:sz w:val="28"/>
          <w:szCs w:val="28"/>
        </w:rPr>
        <w:t>第九条 验收和重新检验</w:t>
      </w:r>
    </w:p>
    <w:p>
      <w:pPr>
        <w:pStyle w:val="3"/>
        <w:spacing w:line="620" w:lineRule="exact"/>
        <w:rPr>
          <w:sz w:val="28"/>
          <w:szCs w:val="28"/>
        </w:rPr>
      </w:pPr>
      <w:r>
        <w:rPr>
          <w:rFonts w:hint="eastAsia"/>
          <w:sz w:val="28"/>
          <w:szCs w:val="28"/>
        </w:rPr>
        <w:t>一、甲方根据乙方的申请，对施工项目进行验收。对不合格的工程甲方通知乙方处理，乙方承担因自身原因导致返工、修改等费用，处理合格后甲方重新组织人员验收，直至符合质量要求。</w:t>
      </w:r>
    </w:p>
    <w:p>
      <w:pPr>
        <w:pStyle w:val="3"/>
        <w:spacing w:line="620" w:lineRule="exact"/>
        <w:rPr>
          <w:sz w:val="28"/>
          <w:szCs w:val="28"/>
        </w:rPr>
      </w:pPr>
      <w:r>
        <w:rPr>
          <w:rFonts w:hint="eastAsia"/>
          <w:sz w:val="28"/>
          <w:szCs w:val="28"/>
        </w:rPr>
        <w:t>二、检查和返工。乙方应认真按照标准、规范和设计的要求以及甲方代表发出的施工指令，随时接受甲方代表及其委派人员的检查检验，为检查检验提供便利条件，并按甲方代表及其委派人员的要求返工、修改，并承担由此发生的相关费用，甲方实施检查检验不得影响乙方正常的施工进行。</w:t>
      </w:r>
    </w:p>
    <w:p>
      <w:pPr>
        <w:pStyle w:val="3"/>
        <w:spacing w:line="620" w:lineRule="exact"/>
        <w:ind w:firstLine="280" w:firstLineChars="100"/>
        <w:rPr>
          <w:sz w:val="28"/>
          <w:szCs w:val="28"/>
        </w:rPr>
      </w:pPr>
      <w:r>
        <w:rPr>
          <w:rFonts w:hint="eastAsia"/>
          <w:sz w:val="28"/>
          <w:szCs w:val="28"/>
        </w:rPr>
        <w:t>第十条 工程施工竣工时间</w:t>
      </w:r>
    </w:p>
    <w:p>
      <w:pPr>
        <w:pStyle w:val="3"/>
        <w:spacing w:line="620" w:lineRule="exact"/>
        <w:rPr>
          <w:sz w:val="28"/>
          <w:szCs w:val="28"/>
        </w:rPr>
      </w:pPr>
      <w:r>
        <w:rPr>
          <w:rFonts w:hint="eastAsia"/>
          <w:sz w:val="28"/>
          <w:szCs w:val="28"/>
        </w:rPr>
        <w:t>工程施工竣工时间为：2023年  月  日至 2023年 月  日。</w:t>
      </w:r>
    </w:p>
    <w:p>
      <w:pPr>
        <w:pStyle w:val="3"/>
        <w:spacing w:line="620" w:lineRule="exact"/>
        <w:ind w:firstLine="280" w:firstLineChars="100"/>
        <w:rPr>
          <w:sz w:val="28"/>
          <w:szCs w:val="28"/>
        </w:rPr>
      </w:pPr>
      <w:r>
        <w:rPr>
          <w:rFonts w:hint="eastAsia"/>
          <w:sz w:val="28"/>
          <w:szCs w:val="28"/>
        </w:rPr>
        <w:t>第十一条 保修条款</w:t>
      </w:r>
    </w:p>
    <w:p>
      <w:pPr>
        <w:pStyle w:val="3"/>
        <w:spacing w:line="620" w:lineRule="exact"/>
        <w:rPr>
          <w:sz w:val="28"/>
          <w:szCs w:val="28"/>
        </w:rPr>
      </w:pPr>
      <w:r>
        <w:rPr>
          <w:rFonts w:hint="eastAsia"/>
          <w:sz w:val="28"/>
          <w:szCs w:val="28"/>
        </w:rPr>
        <w:t>一、保修内容、范围：乙方施工的项目及乙方提供的相关材料的质量。</w:t>
      </w:r>
    </w:p>
    <w:p>
      <w:pPr>
        <w:pStyle w:val="3"/>
        <w:spacing w:line="620" w:lineRule="exact"/>
        <w:rPr>
          <w:sz w:val="28"/>
          <w:szCs w:val="28"/>
        </w:rPr>
      </w:pPr>
      <w:r>
        <w:rPr>
          <w:rFonts w:hint="eastAsia"/>
          <w:sz w:val="28"/>
          <w:szCs w:val="28"/>
        </w:rPr>
        <w:t>二、质保期限： 12个月 ，自工程验收合格并交付使用之日起计算。在保修期内，乙方应在接到修理通知之起1天内派人修理。</w:t>
      </w:r>
    </w:p>
    <w:p>
      <w:pPr>
        <w:pStyle w:val="3"/>
        <w:spacing w:line="620" w:lineRule="exact"/>
        <w:ind w:firstLine="280" w:firstLineChars="100"/>
        <w:rPr>
          <w:sz w:val="28"/>
          <w:szCs w:val="28"/>
        </w:rPr>
      </w:pPr>
      <w:r>
        <w:rPr>
          <w:rFonts w:hint="eastAsia"/>
          <w:sz w:val="28"/>
          <w:szCs w:val="28"/>
        </w:rPr>
        <w:t>第十二条 争议：因执行本协议发生争议，由争议双方协商解决，协商不成，向工程所在地法院诉讼。</w:t>
      </w:r>
    </w:p>
    <w:p>
      <w:pPr>
        <w:pStyle w:val="3"/>
        <w:spacing w:line="620" w:lineRule="exact"/>
        <w:ind w:firstLine="280" w:firstLineChars="100"/>
        <w:rPr>
          <w:rFonts w:hint="eastAsia"/>
          <w:sz w:val="28"/>
          <w:szCs w:val="28"/>
        </w:rPr>
      </w:pPr>
      <w:r>
        <w:rPr>
          <w:rFonts w:hint="eastAsia"/>
          <w:sz w:val="28"/>
          <w:szCs w:val="28"/>
        </w:rPr>
        <w:t>第十三条，违约条款：任何一方有其他违反本合同情形的，违约方应向守约方支付合同总金额</w:t>
      </w:r>
      <w:r>
        <w:rPr>
          <w:sz w:val="28"/>
          <w:szCs w:val="28"/>
        </w:rPr>
        <w:t>3</w:t>
      </w:r>
      <w:r>
        <w:rPr>
          <w:rFonts w:hint="eastAsia" w:eastAsia="宋体"/>
          <w:sz w:val="28"/>
          <w:szCs w:val="28"/>
          <w:lang w:val="en-US" w:eastAsia="zh-CN"/>
        </w:rPr>
        <w:t>0</w:t>
      </w:r>
      <w:r>
        <w:rPr>
          <w:sz w:val="28"/>
          <w:szCs w:val="28"/>
        </w:rPr>
        <w:t>%</w:t>
      </w:r>
      <w:r>
        <w:rPr>
          <w:rFonts w:hint="eastAsia"/>
          <w:sz w:val="28"/>
          <w:szCs w:val="28"/>
        </w:rPr>
        <w:t>的违约责任，并赔偿守约方全部损失，该损失包括但不限于对守约方所造成的直接损失、可得利益损失、守约方支付给第三方的赔偿费用/违约金/罚款、调查取证费用/公证费、诉讼费用、律师费用以及因此而支付的其他合理费用</w:t>
      </w:r>
    </w:p>
    <w:p>
      <w:pPr>
        <w:pStyle w:val="3"/>
        <w:spacing w:line="620" w:lineRule="exact"/>
        <w:rPr>
          <w:sz w:val="28"/>
          <w:szCs w:val="28"/>
        </w:rPr>
      </w:pPr>
      <w:r>
        <w:rPr>
          <w:rFonts w:hint="eastAsia"/>
          <w:sz w:val="28"/>
          <w:szCs w:val="28"/>
        </w:rPr>
        <w:t xml:space="preserve">  第十四条 合同的生效和份数</w:t>
      </w:r>
    </w:p>
    <w:p>
      <w:pPr>
        <w:pStyle w:val="3"/>
        <w:spacing w:line="620" w:lineRule="exact"/>
        <w:rPr>
          <w:sz w:val="28"/>
          <w:szCs w:val="28"/>
        </w:rPr>
      </w:pPr>
      <w:r>
        <w:rPr>
          <w:rFonts w:hint="eastAsia"/>
          <w:sz w:val="28"/>
          <w:szCs w:val="28"/>
        </w:rPr>
        <w:t>本合同自双方签字盖章之日起生效，本合同一式四份，具有同等法律效力，甲乙双方各执两份，由双方各自分送相关部门。</w:t>
      </w:r>
    </w:p>
    <w:p>
      <w:pPr>
        <w:pStyle w:val="3"/>
        <w:spacing w:line="620" w:lineRule="exact"/>
        <w:ind w:firstLine="280" w:firstLineChars="100"/>
        <w:rPr>
          <w:rFonts w:hAnsi="宋体" w:cs="宋体"/>
          <w:sz w:val="30"/>
          <w:szCs w:val="30"/>
        </w:rPr>
      </w:pPr>
      <w:r>
        <w:rPr>
          <w:rFonts w:hint="eastAsia"/>
          <w:sz w:val="28"/>
          <w:szCs w:val="28"/>
        </w:rPr>
        <w:t>第十五条 附加条款：合同条款中未尽事宜，双方协商解决。</w:t>
      </w:r>
    </w:p>
    <w:p>
      <w:pPr>
        <w:spacing w:line="620" w:lineRule="exact"/>
        <w:ind w:left="5320" w:hanging="5320" w:hangingChars="1900"/>
        <w:rPr>
          <w:rFonts w:ascii="宋体" w:hAnsi="宋体" w:cs="宋体"/>
          <w:sz w:val="28"/>
          <w:szCs w:val="28"/>
        </w:rPr>
      </w:pPr>
    </w:p>
    <w:p>
      <w:pPr>
        <w:spacing w:line="620" w:lineRule="exact"/>
        <w:ind w:left="5320" w:hanging="5320" w:hangingChars="1900"/>
        <w:rPr>
          <w:rFonts w:ascii="宋体" w:hAnsi="宋体" w:cs="宋体"/>
          <w:sz w:val="28"/>
          <w:szCs w:val="28"/>
        </w:rPr>
      </w:pPr>
      <w:r>
        <w:rPr>
          <w:rFonts w:hint="eastAsia" w:ascii="宋体" w:hAnsi="宋体" w:cs="宋体"/>
          <w:sz w:val="28"/>
          <w:szCs w:val="28"/>
        </w:rPr>
        <w:t>甲方（盖章）：江油蜀游酒店管理    乙方（盖章）：</w:t>
      </w:r>
    </w:p>
    <w:p>
      <w:pPr>
        <w:spacing w:line="620" w:lineRule="exact"/>
        <w:ind w:left="3920" w:hanging="3920" w:hangingChars="1400"/>
        <w:rPr>
          <w:rFonts w:ascii="宋体" w:hAnsi="宋体" w:cs="宋体"/>
          <w:sz w:val="28"/>
          <w:szCs w:val="28"/>
        </w:rPr>
      </w:pPr>
      <w:r>
        <w:rPr>
          <w:rFonts w:hint="eastAsia" w:ascii="宋体" w:hAnsi="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cs="宋体"/>
          <w:sz w:val="28"/>
          <w:szCs w:val="28"/>
        </w:rPr>
        <w:t xml:space="preserve">有限公司青莲分公司                               </w:t>
      </w:r>
    </w:p>
    <w:p>
      <w:pPr>
        <w:spacing w:line="620" w:lineRule="exact"/>
        <w:ind w:left="5880" w:hanging="5880" w:hangingChars="2100"/>
        <w:rPr>
          <w:rFonts w:ascii="宋体" w:hAnsi="宋体" w:cs="宋体"/>
          <w:sz w:val="28"/>
          <w:szCs w:val="28"/>
        </w:rPr>
      </w:pPr>
      <w:r>
        <w:rPr>
          <w:rFonts w:hint="eastAsia" w:ascii="宋体" w:hAnsi="宋体" w:cs="宋体"/>
          <w:sz w:val="28"/>
          <w:szCs w:val="28"/>
        </w:rPr>
        <w:t xml:space="preserve">地址：四川省绵阳市江油市青莲     </w:t>
      </w:r>
      <w:r>
        <w:rPr>
          <w:rFonts w:hint="eastAsia" w:ascii="宋体" w:hAnsi="宋体" w:eastAsia="宋体" w:cs="宋体"/>
          <w:sz w:val="28"/>
          <w:szCs w:val="28"/>
          <w:lang w:val="en-US" w:eastAsia="zh-CN"/>
        </w:rPr>
        <w:t xml:space="preserve"> </w:t>
      </w:r>
      <w:r>
        <w:rPr>
          <w:rFonts w:hint="eastAsia" w:ascii="宋体" w:hAnsi="宋体" w:cs="宋体"/>
          <w:sz w:val="28"/>
          <w:szCs w:val="28"/>
        </w:rPr>
        <w:t>地址：</w:t>
      </w:r>
    </w:p>
    <w:p>
      <w:pPr>
        <w:spacing w:line="620" w:lineRule="exact"/>
        <w:rPr>
          <w:rFonts w:hint="eastAsia" w:ascii="宋体" w:hAnsi="宋体" w:cs="宋体"/>
          <w:sz w:val="28"/>
          <w:szCs w:val="28"/>
        </w:rPr>
      </w:pPr>
      <w:r>
        <w:rPr>
          <w:rFonts w:hint="eastAsia" w:ascii="宋体" w:hAnsi="宋体" w:cs="宋体"/>
          <w:sz w:val="28"/>
          <w:szCs w:val="28"/>
        </w:rPr>
        <w:t xml:space="preserve">      镇诗仙村四组                       </w:t>
      </w:r>
    </w:p>
    <w:p>
      <w:pPr>
        <w:spacing w:line="620" w:lineRule="exact"/>
        <w:rPr>
          <w:rFonts w:ascii="宋体" w:hAnsi="宋体" w:cs="宋体"/>
          <w:sz w:val="28"/>
          <w:szCs w:val="28"/>
        </w:rPr>
      </w:pPr>
      <w:r>
        <w:rPr>
          <w:rFonts w:hint="eastAsia" w:ascii="宋体" w:hAnsi="宋体" w:cs="宋体"/>
          <w:sz w:val="28"/>
          <w:szCs w:val="28"/>
        </w:rPr>
        <w:t>法定代表人（签名）：              法定代表人（签名）：</w:t>
      </w:r>
    </w:p>
    <w:p>
      <w:pPr>
        <w:spacing w:line="620" w:lineRule="exact"/>
        <w:ind w:left="5320" w:hanging="5320" w:hangingChars="1900"/>
        <w:rPr>
          <w:rFonts w:ascii="宋体" w:hAnsi="宋体" w:cs="宋体"/>
          <w:sz w:val="28"/>
          <w:szCs w:val="28"/>
        </w:rPr>
      </w:pPr>
      <w:r>
        <w:rPr>
          <w:rFonts w:hint="eastAsia" w:ascii="宋体" w:hAnsi="宋体" w:cs="宋体"/>
          <w:sz w:val="28"/>
          <w:szCs w:val="28"/>
        </w:rPr>
        <w:t>委托代理人（签名）：              委托代理人（签名）：</w:t>
      </w:r>
    </w:p>
    <w:p>
      <w:pPr>
        <w:spacing w:line="620" w:lineRule="exact"/>
        <w:ind w:left="5320" w:hanging="5320" w:hangingChars="1900"/>
        <w:rPr>
          <w:rFonts w:ascii="宋体" w:hAnsi="宋体" w:cs="宋体"/>
          <w:sz w:val="28"/>
          <w:szCs w:val="28"/>
        </w:rPr>
      </w:pPr>
    </w:p>
    <w:p>
      <w:pPr>
        <w:spacing w:line="620" w:lineRule="exact"/>
        <w:ind w:left="5320" w:hanging="5320" w:hangingChars="1900"/>
        <w:rPr>
          <w:rFonts w:ascii="宋体" w:hAnsi="宋体" w:cs="宋体"/>
          <w:sz w:val="28"/>
          <w:szCs w:val="28"/>
        </w:rPr>
      </w:pPr>
      <w:r>
        <w:rPr>
          <w:rFonts w:hint="eastAsia" w:ascii="宋体" w:hAnsi="宋体" w:cs="宋体"/>
          <w:sz w:val="28"/>
          <w:szCs w:val="28"/>
        </w:rPr>
        <w:t xml:space="preserve">经办人（签名）：                 </w:t>
      </w:r>
      <w:r>
        <w:rPr>
          <w:rFonts w:hint="eastAsia" w:ascii="宋体" w:hAnsi="宋体" w:eastAsia="宋体" w:cs="宋体"/>
          <w:sz w:val="28"/>
          <w:szCs w:val="28"/>
          <w:lang w:val="en-US" w:eastAsia="zh-CN"/>
        </w:rPr>
        <w:t xml:space="preserve"> </w:t>
      </w:r>
      <w:r>
        <w:rPr>
          <w:rFonts w:hint="eastAsia" w:ascii="宋体" w:hAnsi="宋体" w:cs="宋体"/>
          <w:sz w:val="28"/>
          <w:szCs w:val="28"/>
        </w:rPr>
        <w:t>经办人（签名）：</w:t>
      </w:r>
    </w:p>
    <w:p>
      <w:pPr>
        <w:spacing w:line="620" w:lineRule="exact"/>
        <w:ind w:left="5320" w:hanging="5320" w:hangingChars="1900"/>
        <w:rPr>
          <w:rFonts w:ascii="宋体" w:hAnsi="宋体" w:cs="宋体"/>
          <w:sz w:val="28"/>
          <w:szCs w:val="28"/>
        </w:rPr>
      </w:pPr>
    </w:p>
    <w:p>
      <w:pPr>
        <w:spacing w:line="620" w:lineRule="exact"/>
        <w:ind w:left="5320" w:hanging="5320" w:hangingChars="1900"/>
        <w:rPr>
          <w:rFonts w:ascii="宋体" w:hAnsi="宋体" w:cs="宋体"/>
          <w:sz w:val="28"/>
          <w:szCs w:val="28"/>
        </w:rPr>
      </w:pPr>
      <w:r>
        <w:rPr>
          <w:rFonts w:hint="eastAsia" w:ascii="宋体" w:hAnsi="宋体" w:cs="宋体"/>
          <w:sz w:val="28"/>
          <w:szCs w:val="28"/>
        </w:rPr>
        <w:t xml:space="preserve">联系人电话：                     </w:t>
      </w:r>
      <w:r>
        <w:rPr>
          <w:rFonts w:hint="eastAsia" w:ascii="宋体" w:hAnsi="宋体" w:eastAsia="宋体" w:cs="宋体"/>
          <w:sz w:val="28"/>
          <w:szCs w:val="28"/>
          <w:lang w:val="en-US" w:eastAsia="zh-CN"/>
        </w:rPr>
        <w:t xml:space="preserve"> </w:t>
      </w:r>
      <w:r>
        <w:rPr>
          <w:rFonts w:hint="eastAsia" w:ascii="宋体" w:hAnsi="宋体" w:cs="宋体"/>
          <w:sz w:val="28"/>
          <w:szCs w:val="28"/>
        </w:rPr>
        <w:t>联系人电话：</w:t>
      </w:r>
    </w:p>
    <w:p>
      <w:pPr>
        <w:spacing w:line="620" w:lineRule="exact"/>
        <w:ind w:left="5320" w:hanging="5320" w:hangingChars="1900"/>
        <w:rPr>
          <w:rFonts w:ascii="宋体" w:hAnsi="宋体" w:cs="宋体"/>
          <w:sz w:val="28"/>
          <w:szCs w:val="28"/>
        </w:rPr>
      </w:pPr>
      <w:r>
        <w:rPr>
          <w:rFonts w:hint="eastAsia" w:ascii="宋体" w:hAnsi="宋体" w:cs="宋体"/>
          <w:sz w:val="28"/>
          <w:szCs w:val="28"/>
        </w:rPr>
        <w:t xml:space="preserve">开户银行：         </w:t>
      </w:r>
      <w:bookmarkStart w:id="0" w:name="_GoBack"/>
      <w:bookmarkEnd w:id="0"/>
      <w:r>
        <w:rPr>
          <w:rFonts w:hint="eastAsia" w:ascii="宋体" w:hAnsi="宋体" w:cs="宋体"/>
          <w:sz w:val="28"/>
          <w:szCs w:val="28"/>
        </w:rPr>
        <w:t xml:space="preserve">             </w:t>
      </w:r>
      <w:r>
        <w:rPr>
          <w:rFonts w:hint="eastAsia" w:ascii="宋体" w:hAnsi="宋体" w:eastAsia="宋体" w:cs="宋体"/>
          <w:sz w:val="28"/>
          <w:szCs w:val="28"/>
          <w:lang w:val="en-US" w:eastAsia="zh-CN"/>
        </w:rPr>
        <w:t xml:space="preserve">  开户</w:t>
      </w:r>
      <w:r>
        <w:rPr>
          <w:rFonts w:hint="eastAsia" w:ascii="宋体" w:hAnsi="宋体" w:cs="宋体"/>
          <w:sz w:val="28"/>
          <w:szCs w:val="28"/>
        </w:rPr>
        <w:t xml:space="preserve">银行：              </w:t>
      </w:r>
    </w:p>
    <w:p>
      <w:pPr>
        <w:spacing w:line="620" w:lineRule="exact"/>
        <w:rPr>
          <w:rFonts w:ascii="宋体" w:hAnsi="宋体" w:cs="宋体"/>
          <w:sz w:val="28"/>
          <w:szCs w:val="28"/>
        </w:rPr>
      </w:pPr>
      <w:r>
        <w:rPr>
          <w:rFonts w:hint="eastAsia" w:ascii="宋体" w:hAnsi="宋体" w:cs="宋体"/>
          <w:sz w:val="28"/>
          <w:szCs w:val="28"/>
        </w:rPr>
        <w:t xml:space="preserve">帐号：                           </w:t>
      </w:r>
      <w:r>
        <w:rPr>
          <w:rFonts w:hint="eastAsia" w:ascii="宋体" w:hAnsi="宋体" w:eastAsia="宋体" w:cs="宋体"/>
          <w:sz w:val="28"/>
          <w:szCs w:val="28"/>
          <w:lang w:val="en-US" w:eastAsia="zh-CN"/>
        </w:rPr>
        <w:t xml:space="preserve"> 账号</w:t>
      </w:r>
      <w:r>
        <w:rPr>
          <w:rFonts w:hint="eastAsia" w:ascii="宋体" w:hAnsi="宋体" w:cs="宋体"/>
          <w:sz w:val="28"/>
          <w:szCs w:val="28"/>
        </w:rPr>
        <w:t>：</w:t>
      </w:r>
    </w:p>
    <w:p>
      <w:pPr>
        <w:spacing w:line="620" w:lineRule="exact"/>
        <w:rPr>
          <w:rFonts w:ascii="宋体" w:hAnsi="宋体" w:cs="宋体"/>
          <w:b/>
          <w:sz w:val="30"/>
          <w:szCs w:val="30"/>
        </w:rPr>
      </w:pPr>
      <w:r>
        <w:rPr>
          <w:rFonts w:hint="eastAsia" w:ascii="宋体" w:hAnsi="宋体" w:cs="宋体"/>
          <w:sz w:val="28"/>
          <w:szCs w:val="28"/>
        </w:rPr>
        <w:t xml:space="preserve">2023年   月    日                </w:t>
      </w:r>
      <w:r>
        <w:rPr>
          <w:rFonts w:hint="eastAsia" w:ascii="宋体" w:hAnsi="宋体" w:eastAsia="宋体" w:cs="宋体"/>
          <w:sz w:val="28"/>
          <w:szCs w:val="28"/>
          <w:lang w:val="en-US" w:eastAsia="zh-CN"/>
        </w:rPr>
        <w:t xml:space="preserve"> </w:t>
      </w:r>
      <w:r>
        <w:rPr>
          <w:rFonts w:hint="eastAsia" w:ascii="宋体" w:hAnsi="宋体" w:cs="宋体"/>
          <w:sz w:val="28"/>
          <w:szCs w:val="28"/>
        </w:rPr>
        <w:t>2023年   月    日</w:t>
      </w:r>
    </w:p>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04195A7C"/>
    <w:multiLevelType w:val="singleLevel"/>
    <w:tmpl w:val="04195A7C"/>
    <w:lvl w:ilvl="0" w:tentative="0">
      <w:start w:val="1"/>
      <w:numFmt w:val="decimal"/>
      <w:suff w:val="nothing"/>
      <w:lvlText w:val="%1、"/>
      <w:lvlJc w:val="left"/>
    </w:lvl>
  </w:abstractNum>
  <w:abstractNum w:abstractNumId="2">
    <w:nsid w:val="20D11C10"/>
    <w:multiLevelType w:val="multilevel"/>
    <w:tmpl w:val="20D11C10"/>
    <w:lvl w:ilvl="0" w:tentative="0">
      <w:start w:val="1"/>
      <w:numFmt w:val="chineseCountingThousand"/>
      <w:lvlText w:val="%1、"/>
      <w:lvlJc w:val="left"/>
      <w:pPr>
        <w:ind w:left="794" w:hanging="794"/>
      </w:pPr>
      <w:rPr>
        <w:rFonts w:hint="eastAsia" w:eastAsia="宋体"/>
        <w:b/>
        <w:i w:val="0"/>
        <w:sz w:val="21"/>
      </w:rPr>
    </w:lvl>
    <w:lvl w:ilvl="1" w:tentative="0">
      <w:start w:val="1"/>
      <w:numFmt w:val="decimal"/>
      <w:pStyle w:val="9"/>
      <w:lvlText w:val="%2."/>
      <w:lvlJc w:val="left"/>
      <w:pPr>
        <w:ind w:left="794" w:hanging="794"/>
      </w:pPr>
      <w:rPr>
        <w:rFonts w:hint="default" w:ascii="宋体" w:hAnsi="宋体" w:eastAsia="宋体"/>
        <w:b/>
        <w:i w:val="0"/>
        <w:sz w:val="21"/>
      </w:rPr>
    </w:lvl>
    <w:lvl w:ilvl="2" w:tentative="0">
      <w:start w:val="1"/>
      <w:numFmt w:val="decimal"/>
      <w:pStyle w:val="8"/>
      <w:lvlText w:val="%2.%3."/>
      <w:lvlJc w:val="left"/>
      <w:pPr>
        <w:ind w:left="794" w:hanging="794"/>
      </w:pPr>
      <w:rPr>
        <w:rFonts w:hint="eastAsia"/>
      </w:rPr>
    </w:lvl>
    <w:lvl w:ilvl="3" w:tentative="0">
      <w:start w:val="1"/>
      <w:numFmt w:val="decimal"/>
      <w:lvlText w:val="%2.%3.%4."/>
      <w:lvlJc w:val="left"/>
      <w:pPr>
        <w:ind w:left="794" w:hanging="794"/>
      </w:pPr>
      <w:rPr>
        <w:rFonts w:hint="eastAsia"/>
      </w:rPr>
    </w:lvl>
    <w:lvl w:ilvl="4" w:tentative="0">
      <w:start w:val="1"/>
      <w:numFmt w:val="upperLetter"/>
      <w:lvlText w:val="%5"/>
      <w:lvlJc w:val="left"/>
      <w:pPr>
        <w:tabs>
          <w:tab w:val="left" w:pos="794"/>
        </w:tabs>
        <w:ind w:left="794" w:hanging="794"/>
      </w:pPr>
      <w:rPr>
        <w:rFonts w:hint="eastAsia"/>
      </w:rPr>
    </w:lvl>
    <w:lvl w:ilvl="5" w:tentative="0">
      <w:start w:val="1"/>
      <w:numFmt w:val="decimal"/>
      <w:lvlText w:val="%1.%2.%3.%4.%5.%6"/>
      <w:lvlJc w:val="left"/>
      <w:pPr>
        <w:ind w:left="794" w:hanging="794"/>
      </w:pPr>
      <w:rPr>
        <w:rFonts w:hint="eastAsia"/>
      </w:rPr>
    </w:lvl>
    <w:lvl w:ilvl="6" w:tentative="0">
      <w:start w:val="1"/>
      <w:numFmt w:val="decimal"/>
      <w:lvlText w:val="%1.%2.%3.%4.%5.%6.%7"/>
      <w:lvlJc w:val="left"/>
      <w:pPr>
        <w:ind w:left="794" w:hanging="794"/>
      </w:pPr>
      <w:rPr>
        <w:rFonts w:hint="eastAsia"/>
      </w:rPr>
    </w:lvl>
    <w:lvl w:ilvl="7" w:tentative="0">
      <w:start w:val="1"/>
      <w:numFmt w:val="decimal"/>
      <w:lvlText w:val="%1.%2.%3.%4.%5.%6.%7.%8"/>
      <w:lvlJc w:val="left"/>
      <w:pPr>
        <w:ind w:left="794" w:hanging="794"/>
      </w:pPr>
      <w:rPr>
        <w:rFonts w:hint="eastAsia"/>
      </w:rPr>
    </w:lvl>
    <w:lvl w:ilvl="8" w:tentative="0">
      <w:start w:val="1"/>
      <w:numFmt w:val="decimal"/>
      <w:lvlText w:val="%1.%2.%3.%4.%5.%6.%7.%8.%9"/>
      <w:lvlJc w:val="left"/>
      <w:pPr>
        <w:ind w:left="794" w:hanging="794"/>
      </w:pPr>
      <w:rPr>
        <w:rFonts w:hint="eastAsia"/>
      </w:rPr>
    </w:lvl>
  </w:abstractNum>
  <w:abstractNum w:abstractNumId="3">
    <w:nsid w:val="31D4A469"/>
    <w:multiLevelType w:val="singleLevel"/>
    <w:tmpl w:val="31D4A469"/>
    <w:lvl w:ilvl="0" w:tentative="0">
      <w:start w:val="3"/>
      <w:numFmt w:val="chineseCounting"/>
      <w:suff w:val="space"/>
      <w:lvlText w:val="第%1条"/>
      <w:lvlJc w:val="left"/>
      <w:rPr>
        <w:rFonts w:hint="eastAsia"/>
        <w:b w:val="0"/>
        <w:bCs w:val="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MzkyMjBlZTFjNWUwMTFiZmMyMDEwNjEyYzQwMTQifQ=="/>
  </w:docVars>
  <w:rsids>
    <w:rsidRoot w:val="052F3AB7"/>
    <w:rsid w:val="00A67D58"/>
    <w:rsid w:val="052F3AB7"/>
    <w:rsid w:val="05383F82"/>
    <w:rsid w:val="06A458B7"/>
    <w:rsid w:val="0C1C4170"/>
    <w:rsid w:val="0C28566A"/>
    <w:rsid w:val="13223D7F"/>
    <w:rsid w:val="140B289C"/>
    <w:rsid w:val="15CA4003"/>
    <w:rsid w:val="248C11BA"/>
    <w:rsid w:val="2AFB60D8"/>
    <w:rsid w:val="32823E47"/>
    <w:rsid w:val="361719C1"/>
    <w:rsid w:val="367A046E"/>
    <w:rsid w:val="382128B0"/>
    <w:rsid w:val="3BEB6C08"/>
    <w:rsid w:val="43686B13"/>
    <w:rsid w:val="476F65D0"/>
    <w:rsid w:val="4DE1353A"/>
    <w:rsid w:val="62113CD1"/>
    <w:rsid w:val="6D4E5FC4"/>
    <w:rsid w:val="7BCE36BF"/>
    <w:rsid w:val="7CEB202E"/>
    <w:rsid w:val="7D8074AE"/>
    <w:rsid w:val="7F716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Plain Text"/>
    <w:basedOn w:val="1"/>
    <w:qFormat/>
    <w:uiPriority w:val="0"/>
    <w:rPr>
      <w:rFonts w:ascii="宋体" w:hAnsi="Courier New"/>
    </w:rPr>
  </w:style>
  <w:style w:type="paragraph" w:styleId="4">
    <w:name w:val="footer"/>
    <w:basedOn w:val="1"/>
    <w:qFormat/>
    <w:uiPriority w:val="99"/>
    <w:pPr>
      <w:tabs>
        <w:tab w:val="center" w:pos="4153"/>
        <w:tab w:val="right" w:pos="8306"/>
      </w:tabs>
      <w:snapToGrid w:val="0"/>
      <w:jc w:val="left"/>
    </w:pPr>
    <w:rPr>
      <w:sz w:val="18"/>
      <w:szCs w:val="20"/>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8"/>
    <w:basedOn w:val="9"/>
    <w:qFormat/>
    <w:uiPriority w:val="0"/>
    <w:pPr>
      <w:numPr>
        <w:ilvl w:val="2"/>
      </w:numPr>
    </w:pPr>
    <w:rPr>
      <w:b w:val="0"/>
    </w:rPr>
  </w:style>
  <w:style w:type="paragraph" w:customStyle="1" w:styleId="9">
    <w:name w:val="样式2"/>
    <w:basedOn w:val="1"/>
    <w:qFormat/>
    <w:uiPriority w:val="0"/>
    <w:pPr>
      <w:numPr>
        <w:ilvl w:val="1"/>
        <w:numId w:val="1"/>
      </w:numPr>
      <w:spacing w:beforeLines="50" w:line="276" w:lineRule="auto"/>
    </w:pPr>
    <w:rPr>
      <w:rFonts w:ascii="宋体" w:hAnsi="宋体"/>
      <w:b/>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2604</Words>
  <Characters>2652</Characters>
  <Lines>0</Lines>
  <Paragraphs>0</Paragraphs>
  <TotalTime>5</TotalTime>
  <ScaleCrop>false</ScaleCrop>
  <LinksUpToDate>false</LinksUpToDate>
  <CharactersWithSpaces>3002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2023-08-10T08:37:32Z</cp:lastPrinted>
  <dcterms:modified xsi:type="dcterms:W3CDTF">2023-08-10T08:40:08Z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76C9A4773B63434B9FC51B57D37D2DB1_11</vt:lpwstr>
  </property>
</Properties>
</file>