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hd w:val="clear" w:color="auto" w:fill="auto"/>
        <w:wordWrap/>
        <w:overflowPunct/>
        <w:topLinePunct w:val="0"/>
        <w:bidi w:val="0"/>
        <w:spacing w:line="540" w:lineRule="exact"/>
        <w:rPr>
          <w:rFonts w:hint="default" w:ascii="仿宋" w:hAnsi="仿宋" w:eastAsia="仿宋" w:cs="仿宋"/>
          <w:b w:val="0"/>
          <w:bCs w:val="0"/>
          <w:color w:val="auto"/>
          <w:sz w:val="32"/>
          <w:szCs w:val="32"/>
          <w:highlight w:val="none"/>
          <w:u w:val="none" w:color="auto"/>
          <w:lang w:val="en-US" w:eastAsia="zh-CN"/>
        </w:rPr>
      </w:pPr>
      <w:bookmarkStart w:id="0" w:name="_GoBack"/>
      <w:r>
        <w:rPr>
          <w:rFonts w:hint="eastAsia" w:ascii="仿宋" w:hAnsi="仿宋" w:eastAsia="仿宋" w:cs="仿宋"/>
          <w:b w:val="0"/>
          <w:bCs w:val="0"/>
          <w:color w:val="auto"/>
          <w:sz w:val="32"/>
          <w:szCs w:val="32"/>
          <w:highlight w:val="none"/>
          <w:u w:val="none" w:color="auto"/>
          <w:lang w:val="en-US" w:eastAsia="zh-CN"/>
        </w:rPr>
        <w:t>附件1：竞标函模板</w:t>
      </w:r>
      <w:bookmarkEnd w:id="0"/>
    </w:p>
    <w:p>
      <w:pPr>
        <w:pStyle w:val="2"/>
        <w:rPr>
          <w:rFonts w:hint="default"/>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鹰嘴岩攀岩项目资产评估服务项目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竞标函</w:t>
      </w:r>
    </w:p>
    <w:p>
      <w:pPr>
        <w:pStyle w:val="2"/>
        <w:rPr>
          <w:rFonts w:hint="eastAsia"/>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江油市山地精英体育文化有限公司：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我方全面研究了“鹰嘴岩攀岩项目资产评估服务项目”比选公告，决定参加贵单位组织的本项目比选，并自觉遵守资产评估相关规定，遵守资产评估规则，维护正常资产评估秩序。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sz w:val="32"/>
          <w:szCs w:val="32"/>
          <w:highlight w:val="none"/>
          <w:u w:val="single"/>
          <w:lang w:val="en-US" w:eastAsia="zh-CN"/>
        </w:rPr>
      </w:pPr>
      <w:r>
        <w:rPr>
          <w:rFonts w:hint="eastAsia" w:ascii="仿宋" w:hAnsi="仿宋" w:eastAsia="仿宋" w:cs="仿宋"/>
          <w:sz w:val="32"/>
          <w:szCs w:val="32"/>
          <w:highlight w:val="none"/>
          <w:lang w:val="en-US" w:eastAsia="zh-CN"/>
        </w:rPr>
        <w:t>1、我方自愿按照比选公告规定的各项要求向采购人提供所需服务，提供的服务等所有权及知识产权等权利无瑕疵。总报价为</w:t>
      </w:r>
      <w:r>
        <w:rPr>
          <w:rFonts w:hint="eastAsia" w:ascii="仿宋" w:hAnsi="仿宋" w:eastAsia="仿宋" w:cs="仿宋"/>
          <w:sz w:val="32"/>
          <w:szCs w:val="32"/>
          <w:highlight w:val="none"/>
          <w:u w:val="single"/>
          <w:lang w:val="en-US" w:eastAsia="zh-CN"/>
        </w:rPr>
        <w:t>川资评协（2017）23号文件为基准下浮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附件：资产清单</w:t>
      </w:r>
    </w:p>
    <w:p>
      <w:pPr>
        <w:pStyle w:val="2"/>
        <w:keepNext w:val="0"/>
        <w:keepLines w:val="0"/>
        <w:pageBreakBefore w:val="0"/>
        <w:widowControl w:val="0"/>
        <w:kinsoku/>
        <w:wordWrap/>
        <w:overflowPunct/>
        <w:topLinePunct w:val="0"/>
        <w:autoSpaceDE/>
        <w:autoSpaceDN/>
        <w:bidi w:val="0"/>
        <w:adjustRightInd/>
        <w:snapToGrid/>
        <w:spacing w:line="574" w:lineRule="exact"/>
        <w:ind w:firstLine="1120" w:firstLineChars="400"/>
        <w:textAlignment w:val="auto"/>
        <w:rPr>
          <w:rFonts w:hint="default"/>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 xml:space="preserve">                      投标时间：  年  月  日</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highlight w:val="none"/>
          <w:u w:val="none"/>
          <w:lang w:val="en-US" w:eastAsia="zh-CN"/>
        </w:rPr>
        <w:sectPr>
          <w:footerReference r:id="rId5" w:type="default"/>
          <w:pgSz w:w="11906" w:h="16838"/>
          <w:pgMar w:top="1134" w:right="1587" w:bottom="1440" w:left="1587" w:header="851" w:footer="992" w:gutter="0"/>
          <w:cols w:space="0" w:num="1"/>
          <w:rtlGutter w:val="0"/>
          <w:docGrid w:type="lines" w:linePitch="349"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default"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附件：资产清单</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z w:val="44"/>
          <w:szCs w:val="44"/>
          <w:highlight w:val="none"/>
          <w:u w:val="none"/>
          <w:lang w:val="en-US" w:eastAsia="zh-CN"/>
        </w:rPr>
      </w:pPr>
      <w:r>
        <w:rPr>
          <w:rFonts w:hint="eastAsia" w:ascii="方正小标宋简体" w:hAnsi="方正小标宋简体" w:eastAsia="方正小标宋简体" w:cs="方正小标宋简体"/>
          <w:sz w:val="44"/>
          <w:szCs w:val="44"/>
          <w:highlight w:val="none"/>
          <w:u w:val="none"/>
          <w:lang w:val="en-US" w:eastAsia="zh-CN"/>
        </w:rPr>
        <w:t>资产清单</w:t>
      </w:r>
    </w:p>
    <w:p>
      <w:pPr>
        <w:pStyle w:val="2"/>
        <w:rPr>
          <w:rFonts w:hint="eastAsia"/>
          <w:highlight w:val="none"/>
          <w:lang w:val="en-US" w:eastAsia="zh-CN"/>
        </w:rPr>
      </w:pPr>
    </w:p>
    <w:tbl>
      <w:tblPr>
        <w:tblStyle w:val="6"/>
        <w:tblW w:w="42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1571"/>
        <w:gridCol w:w="1571"/>
        <w:gridCol w:w="1305"/>
        <w:gridCol w:w="1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2" w:hRule="atLeast"/>
          <w:jc w:val="center"/>
        </w:trPr>
        <w:tc>
          <w:tcPr>
            <w:tcW w:w="115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产品说明</w:t>
            </w:r>
          </w:p>
        </w:tc>
        <w:tc>
          <w:tcPr>
            <w:tcW w:w="102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项目说明</w:t>
            </w:r>
          </w:p>
        </w:tc>
        <w:tc>
          <w:tcPr>
            <w:tcW w:w="102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业务类型</w:t>
            </w:r>
          </w:p>
        </w:tc>
        <w:tc>
          <w:tcPr>
            <w:tcW w:w="854"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highlight w:val="none"/>
                <w:vertAlign w:val="baseline"/>
                <w:lang w:val="en-US" w:eastAsia="zh-CN"/>
              </w:rPr>
            </w:pPr>
            <w:r>
              <w:rPr>
                <w:rFonts w:hint="eastAsia"/>
                <w:highlight w:val="none"/>
                <w:vertAlign w:val="baseline"/>
                <w:lang w:val="en-US" w:eastAsia="zh-CN"/>
              </w:rPr>
              <w:t>总长度</w:t>
            </w:r>
          </w:p>
        </w:tc>
        <w:tc>
          <w:tcPr>
            <w:tcW w:w="930"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15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飞拉达A线</w:t>
            </w:r>
          </w:p>
        </w:tc>
        <w:tc>
          <w:tcPr>
            <w:tcW w:w="102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器材设备</w:t>
            </w:r>
          </w:p>
        </w:tc>
        <w:tc>
          <w:tcPr>
            <w:tcW w:w="102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资产评估</w:t>
            </w:r>
          </w:p>
        </w:tc>
        <w:tc>
          <w:tcPr>
            <w:tcW w:w="854"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highlight w:val="none"/>
                <w:vertAlign w:val="baseline"/>
                <w:lang w:val="en-US" w:eastAsia="zh-CN"/>
              </w:rPr>
            </w:pPr>
            <w:r>
              <w:rPr>
                <w:rFonts w:hint="eastAsia"/>
                <w:highlight w:val="none"/>
                <w:vertAlign w:val="baseline"/>
                <w:lang w:val="en-US" w:eastAsia="zh-CN"/>
              </w:rPr>
              <w:t>180m</w:t>
            </w:r>
          </w:p>
        </w:tc>
        <w:tc>
          <w:tcPr>
            <w:tcW w:w="930"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15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飞拉达B线</w:t>
            </w:r>
          </w:p>
        </w:tc>
        <w:tc>
          <w:tcPr>
            <w:tcW w:w="1028" w:type="pct"/>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highlight w:val="none"/>
                <w:vertAlign w:val="baseline"/>
                <w:lang w:val="en-US" w:eastAsia="zh-CN"/>
              </w:rPr>
            </w:pPr>
            <w:r>
              <w:rPr>
                <w:rFonts w:hint="eastAsia"/>
                <w:highlight w:val="none"/>
                <w:vertAlign w:val="baseline"/>
                <w:lang w:val="en-US" w:eastAsia="zh-CN"/>
              </w:rPr>
              <w:t>器材设备</w:t>
            </w:r>
          </w:p>
        </w:tc>
        <w:tc>
          <w:tcPr>
            <w:tcW w:w="102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资产评估</w:t>
            </w:r>
          </w:p>
        </w:tc>
        <w:tc>
          <w:tcPr>
            <w:tcW w:w="854"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highlight w:val="none"/>
                <w:vertAlign w:val="baseline"/>
                <w:lang w:val="en-US" w:eastAsia="zh-CN"/>
              </w:rPr>
            </w:pPr>
            <w:r>
              <w:rPr>
                <w:rFonts w:hint="eastAsia"/>
                <w:highlight w:val="none"/>
                <w:vertAlign w:val="baseline"/>
                <w:lang w:val="en-US" w:eastAsia="zh-CN"/>
              </w:rPr>
              <w:t>240m</w:t>
            </w:r>
          </w:p>
        </w:tc>
        <w:tc>
          <w:tcPr>
            <w:tcW w:w="930"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15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飞拉达C线</w:t>
            </w:r>
          </w:p>
        </w:tc>
        <w:tc>
          <w:tcPr>
            <w:tcW w:w="1028" w:type="pct"/>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highlight w:val="none"/>
                <w:vertAlign w:val="baseline"/>
                <w:lang w:val="en-US" w:eastAsia="zh-CN"/>
              </w:rPr>
            </w:pPr>
            <w:r>
              <w:rPr>
                <w:rFonts w:hint="eastAsia"/>
                <w:highlight w:val="none"/>
                <w:vertAlign w:val="baseline"/>
                <w:lang w:val="en-US" w:eastAsia="zh-CN"/>
              </w:rPr>
              <w:t>器材设备</w:t>
            </w:r>
          </w:p>
        </w:tc>
        <w:tc>
          <w:tcPr>
            <w:tcW w:w="1028"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r>
              <w:rPr>
                <w:rFonts w:hint="eastAsia"/>
                <w:highlight w:val="none"/>
                <w:vertAlign w:val="baseline"/>
                <w:lang w:val="en-US" w:eastAsia="zh-CN"/>
              </w:rPr>
              <w:t>资产评估</w:t>
            </w:r>
          </w:p>
        </w:tc>
        <w:tc>
          <w:tcPr>
            <w:tcW w:w="854"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highlight w:val="none"/>
                <w:vertAlign w:val="baseline"/>
                <w:lang w:val="en-US" w:eastAsia="zh-CN"/>
              </w:rPr>
            </w:pPr>
            <w:r>
              <w:rPr>
                <w:rFonts w:hint="eastAsia"/>
                <w:highlight w:val="none"/>
                <w:vertAlign w:val="baseline"/>
                <w:lang w:val="en-US" w:eastAsia="zh-CN"/>
              </w:rPr>
              <w:t>200m</w:t>
            </w:r>
          </w:p>
        </w:tc>
        <w:tc>
          <w:tcPr>
            <w:tcW w:w="930" w:type="pc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highlight w:val="none"/>
                <w:vertAlign w:val="baseline"/>
                <w:lang w:val="en-US" w:eastAsia="zh-CN"/>
              </w:rPr>
            </w:pPr>
          </w:p>
        </w:tc>
      </w:tr>
    </w:tbl>
    <w:p>
      <w:pPr>
        <w:pStyle w:val="2"/>
        <w:rPr>
          <w:rFonts w:hint="default"/>
          <w:highlight w:val="none"/>
          <w:lang w:val="en-US" w:eastAsia="zh-CN"/>
        </w:rPr>
      </w:pPr>
    </w:p>
    <w:p>
      <w:pPr>
        <w:rPr>
          <w:rFonts w:hint="default" w:eastAsia="宋体"/>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highlight w:val="none"/>
          <w:lang w:val="en-US" w:eastAsia="zh-CN"/>
        </w:rPr>
      </w:pPr>
      <w:r>
        <w:rPr>
          <w:rFonts w:hint="eastAsia" w:ascii="仿宋" w:hAnsi="仿宋" w:eastAsia="仿宋" w:cs="仿宋"/>
          <w:sz w:val="32"/>
          <w:szCs w:val="32"/>
          <w:highlight w:val="none"/>
          <w:u w:val="none"/>
          <w:lang w:val="en-US" w:eastAsia="zh-CN"/>
        </w:rPr>
        <w:t xml:space="preserve">                      投标时间：  年  月  日</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z w:val="44"/>
          <w:szCs w:val="44"/>
          <w:highlight w:val="none"/>
          <w:u w:val="none"/>
          <w:lang w:val="en-US" w:eastAsia="zh-CN"/>
        </w:rPr>
        <w:sectPr>
          <w:pgSz w:w="11906" w:h="16838"/>
          <w:pgMar w:top="1134" w:right="1587" w:bottom="1440" w:left="1587" w:header="851" w:footer="992" w:gutter="0"/>
          <w:cols w:space="0" w:num="1"/>
          <w:rtlGutter w:val="0"/>
          <w:docGrid w:type="lines" w:linePitch="349" w:charSpace="0"/>
        </w:sect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highlight w:val="none"/>
          <w:u w:val="none" w:color="auto"/>
          <w:lang w:val="en-US" w:eastAsia="zh-CN"/>
        </w:rPr>
      </w:pPr>
      <w:r>
        <w:rPr>
          <w:rFonts w:hint="eastAsia" w:ascii="仿宋" w:hAnsi="仿宋" w:eastAsia="仿宋" w:cs="仿宋"/>
          <w:b w:val="0"/>
          <w:bCs w:val="0"/>
          <w:color w:val="auto"/>
          <w:sz w:val="32"/>
          <w:szCs w:val="32"/>
          <w:highlight w:val="none"/>
          <w:u w:val="none" w:color="auto"/>
          <w:lang w:val="en-US" w:eastAsia="zh-CN"/>
        </w:rPr>
        <w:t>附件2授权委托书模版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highlight w:val="none"/>
          <w:u w:val="none" w:color="auto"/>
          <w:lang w:val="en-US" w:eastAsia="zh-CN"/>
        </w:rPr>
      </w:pPr>
      <w:r>
        <w:rPr>
          <w:rFonts w:hint="eastAsia" w:ascii="方正小标宋简体" w:hAnsi="方正小标宋简体" w:eastAsia="方正小标宋简体" w:cs="方正小标宋简体"/>
          <w:spacing w:val="9"/>
          <w:sz w:val="32"/>
          <w:szCs w:val="32"/>
          <w:highlight w:val="none"/>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江油市山地精英体育文化有限公司：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本授权声明：                 (供应商名称)          (法人单位法定代表人姓名、职务；非法人单位负责人姓名、职务； 自然人则为供应商姓名) 授权                    (被授权人姓名、职务)          （联系电话）为我方 “鹰嘴岩攀岩项目资产评估服务” 项目比选活动的合法代表，以我方名义全权处理该项目有关磋商、签订合同以及执行合同等一切事宜。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highlight w:val="none"/>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供应商名称：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日期：       年   月   日</w:t>
      </w:r>
    </w:p>
    <w:p>
      <w:pPr>
        <w:pStyle w:val="2"/>
        <w:rPr>
          <w:rFonts w:hint="eastAsia" w:ascii="仿宋" w:hAnsi="仿宋" w:eastAsia="仿宋" w:cs="仿宋"/>
          <w:sz w:val="32"/>
          <w:szCs w:val="32"/>
          <w:highlight w:val="none"/>
          <w:lang w:val="en-US" w:eastAsia="zh-CN"/>
        </w:rPr>
      </w:pPr>
    </w:p>
    <w:p>
      <w:pPr>
        <w:rPr>
          <w:rFonts w:hint="eastAsia" w:ascii="仿宋" w:hAnsi="仿宋" w:eastAsia="仿宋" w:cs="仿宋"/>
          <w:sz w:val="32"/>
          <w:szCs w:val="32"/>
          <w:highlight w:val="none"/>
          <w:lang w:val="en-US" w:eastAsia="zh-CN"/>
        </w:rPr>
      </w:pPr>
    </w:p>
    <w:p>
      <w:pPr>
        <w:pStyle w:val="2"/>
        <w:rPr>
          <w:rFonts w:hint="eastAsia" w:ascii="仿宋" w:hAnsi="仿宋" w:eastAsia="仿宋" w:cs="仿宋"/>
          <w:sz w:val="32"/>
          <w:szCs w:val="32"/>
          <w:highlight w:val="none"/>
          <w:lang w:val="en-US" w:eastAsia="zh-CN"/>
        </w:rPr>
      </w:pPr>
    </w:p>
    <w:p>
      <w:pPr>
        <w:rPr>
          <w:rFonts w:hint="eastAsia" w:ascii="仿宋" w:hAnsi="仿宋" w:eastAsia="仿宋" w:cs="仿宋"/>
          <w:sz w:val="32"/>
          <w:szCs w:val="32"/>
          <w:highlight w:val="none"/>
          <w:lang w:val="en-US" w:eastAsia="zh-CN"/>
        </w:rPr>
      </w:pPr>
    </w:p>
    <w:p>
      <w:pPr>
        <w:pStyle w:val="2"/>
        <w:rPr>
          <w:rFonts w:hint="eastAsia" w:ascii="仿宋" w:hAnsi="仿宋" w:eastAsia="仿宋" w:cs="仿宋"/>
          <w:sz w:val="32"/>
          <w:szCs w:val="32"/>
          <w:highlight w:val="none"/>
          <w:lang w:val="en-US" w:eastAsia="zh-CN"/>
        </w:rPr>
      </w:pPr>
    </w:p>
    <w:p>
      <w:pPr>
        <w:rPr>
          <w:rFonts w:hint="eastAsia"/>
          <w:highlight w:val="none"/>
          <w:lang w:val="en-US" w:eastAsia="zh-CN"/>
        </w:rPr>
      </w:pPr>
    </w:p>
    <w:p>
      <w:pPr>
        <w:rPr>
          <w:rFonts w:hint="eastAsia" w:ascii="仿宋" w:hAnsi="仿宋" w:eastAsia="仿宋" w:cs="仿宋"/>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楷体" w:hAnsi="楷体" w:eastAsia="楷体"/>
          <w:b/>
          <w:bCs/>
          <w:sz w:val="48"/>
          <w:highlight w:val="none"/>
        </w:rPr>
      </w:pPr>
      <w:r>
        <w:rPr>
          <w:rFonts w:hint="eastAsia" w:ascii="楷体" w:hAnsi="楷体" w:eastAsia="楷体"/>
          <w:b/>
          <w:bCs/>
          <w:sz w:val="48"/>
          <w:highlight w:val="none"/>
        </w:rPr>
        <w:t xml:space="preserve">资产评估委托合同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b/>
          <w:bCs/>
          <w:sz w:val="28"/>
          <w:szCs w:val="28"/>
          <w:highlight w:val="none"/>
        </w:rPr>
      </w:pPr>
      <w:r>
        <w:rPr>
          <w:rFonts w:hint="eastAsia" w:ascii="楷体" w:hAnsi="楷体" w:eastAsia="楷体"/>
          <w:sz w:val="28"/>
          <w:szCs w:val="28"/>
          <w:highlight w:val="none"/>
        </w:rPr>
        <w:t>委托方（甲方）：</w:t>
      </w:r>
      <w:r>
        <w:rPr>
          <w:rFonts w:hint="eastAsia" w:ascii="楷体" w:hAnsi="楷体" w:eastAsia="楷体"/>
          <w:b/>
          <w:bCs/>
          <w:sz w:val="28"/>
          <w:szCs w:val="28"/>
          <w:highlight w:val="none"/>
          <w:lang w:val="en-US" w:eastAsia="zh-CN"/>
        </w:rPr>
        <w:t>江油市山地精英体育文化有限公司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受托方（乙方）：</w:t>
      </w:r>
    </w:p>
    <w:p>
      <w:pPr>
        <w:pStyle w:val="3"/>
        <w:keepNext w:val="0"/>
        <w:keepLines w:val="0"/>
        <w:pageBreakBefore w:val="0"/>
        <w:widowControl w:val="0"/>
        <w:kinsoku/>
        <w:wordWrap/>
        <w:overflowPunct/>
        <w:topLinePunct w:val="0"/>
        <w:autoSpaceDE/>
        <w:autoSpaceDN/>
        <w:bidi w:val="0"/>
        <w:adjustRightInd/>
        <w:snapToGrid/>
        <w:spacing w:line="520" w:lineRule="exact"/>
        <w:ind w:firstLine="504" w:firstLineChars="180"/>
        <w:textAlignment w:val="auto"/>
        <w:rPr>
          <w:rFonts w:hint="eastAsia" w:ascii="楷体" w:hAnsi="楷体" w:eastAsia="楷体"/>
          <w:sz w:val="28"/>
          <w:szCs w:val="28"/>
          <w:highlight w:val="none"/>
        </w:rPr>
      </w:pPr>
      <w:r>
        <w:rPr>
          <w:rFonts w:hint="eastAsia" w:ascii="楷体" w:hAnsi="楷体" w:eastAsia="楷体"/>
          <w:sz w:val="28"/>
          <w:szCs w:val="28"/>
          <w:highlight w:val="none"/>
        </w:rPr>
        <w:t>甲方因需对外转让资产，确定转让资产的公允市场价值，特委托乙方作为评估机构对委托方所属资产进行评估，乙方同意接受甲方的委托。甲、乙双方遵照国家有关法律规定，经协商一致，订立本合同。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textAlignment w:val="auto"/>
        <w:rPr>
          <w:rFonts w:hint="eastAsia" w:ascii="楷体" w:hAnsi="楷体" w:eastAsia="楷体"/>
          <w:b/>
          <w:bCs/>
          <w:sz w:val="28"/>
          <w:szCs w:val="28"/>
          <w:highlight w:val="none"/>
        </w:rPr>
      </w:pPr>
      <w:r>
        <w:rPr>
          <w:rFonts w:hint="eastAsia" w:ascii="楷体" w:hAnsi="楷体" w:eastAsia="楷体"/>
          <w:b/>
          <w:bCs/>
          <w:sz w:val="28"/>
          <w:szCs w:val="28"/>
          <w:highlight w:val="none"/>
        </w:rPr>
        <w:t>评估机构和委托方的名称、住所</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楷体" w:hAnsi="楷体" w:eastAsia="楷体"/>
          <w:sz w:val="28"/>
          <w:szCs w:val="28"/>
          <w:highlight w:val="none"/>
        </w:rPr>
      </w:pPr>
      <w:r>
        <w:rPr>
          <w:rFonts w:hint="eastAsia" w:ascii="楷体" w:hAnsi="楷体" w:eastAsia="楷体"/>
          <w:bCs/>
          <w:sz w:val="28"/>
          <w:szCs w:val="28"/>
          <w:highlight w:val="none"/>
        </w:rPr>
        <w:t>评估机构：</w:t>
      </w:r>
      <w:r>
        <w:rPr>
          <w:rFonts w:hint="eastAsia" w:ascii="楷体" w:hAnsi="楷体" w:eastAsia="楷体"/>
          <w:bCs/>
          <w:sz w:val="28"/>
          <w:szCs w:val="28"/>
          <w:highlight w:val="none"/>
          <w:lang w:val="en-US" w:eastAsia="zh-CN"/>
        </w:rPr>
        <w:t xml:space="preserve">              </w:t>
      </w:r>
      <w:r>
        <w:rPr>
          <w:rFonts w:hint="eastAsia" w:ascii="楷体" w:hAnsi="楷体" w:eastAsia="楷体"/>
          <w:bCs/>
          <w:sz w:val="28"/>
          <w:szCs w:val="28"/>
          <w:highlight w:val="none"/>
        </w:rPr>
        <w:t>,</w:t>
      </w:r>
      <w:r>
        <w:rPr>
          <w:rFonts w:hint="eastAsia" w:ascii="楷体" w:hAnsi="楷体" w:eastAsia="楷体"/>
          <w:sz w:val="28"/>
          <w:szCs w:val="28"/>
          <w:highlight w:val="none"/>
        </w:rPr>
        <w:t>地址：</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楷体" w:hAnsi="楷体" w:eastAsia="楷体"/>
          <w:bCs/>
          <w:sz w:val="28"/>
          <w:szCs w:val="28"/>
          <w:highlight w:val="none"/>
        </w:rPr>
      </w:pPr>
      <w:r>
        <w:rPr>
          <w:rFonts w:hint="eastAsia" w:ascii="楷体" w:hAnsi="楷体" w:eastAsia="楷体"/>
          <w:bCs/>
          <w:sz w:val="28"/>
          <w:szCs w:val="28"/>
          <w:highlight w:val="none"/>
        </w:rPr>
        <w:t>委托方：</w:t>
      </w:r>
      <w:r>
        <w:rPr>
          <w:rFonts w:hint="eastAsia" w:ascii="楷体" w:hAnsi="楷体" w:eastAsia="楷体"/>
          <w:bCs/>
          <w:sz w:val="28"/>
          <w:szCs w:val="28"/>
          <w:highlight w:val="none"/>
          <w:lang w:val="en-US" w:eastAsia="zh-CN"/>
        </w:rPr>
        <w:t>江油市山地精英体育文化有限公司</w:t>
      </w:r>
      <w:r>
        <w:rPr>
          <w:rFonts w:hint="eastAsia" w:ascii="楷体" w:hAnsi="楷体" w:eastAsia="楷体"/>
          <w:bCs/>
          <w:sz w:val="28"/>
          <w:szCs w:val="28"/>
          <w:highlight w:val="none"/>
        </w:rPr>
        <w:t>，地址：四川省江油市太平镇桃源路576号。</w:t>
      </w:r>
    </w:p>
    <w:p>
      <w:pPr>
        <w:keepNext w:val="0"/>
        <w:keepLines w:val="0"/>
        <w:pageBreakBefore w:val="0"/>
        <w:widowControl w:val="0"/>
        <w:kinsoku/>
        <w:wordWrap/>
        <w:overflowPunct/>
        <w:topLinePunct w:val="0"/>
        <w:autoSpaceDE/>
        <w:autoSpaceDN/>
        <w:bidi w:val="0"/>
        <w:adjustRightInd/>
        <w:snapToGrid/>
        <w:spacing w:line="520" w:lineRule="exact"/>
        <w:ind w:firstLine="422" w:firstLineChars="150"/>
        <w:textAlignment w:val="auto"/>
        <w:rPr>
          <w:rFonts w:hint="eastAsia" w:ascii="楷体" w:hAnsi="楷体" w:eastAsia="楷体"/>
          <w:sz w:val="28"/>
          <w:szCs w:val="28"/>
          <w:highlight w:val="none"/>
        </w:rPr>
      </w:pPr>
      <w:r>
        <w:rPr>
          <w:rFonts w:hint="eastAsia" w:ascii="楷体" w:hAnsi="楷体" w:eastAsia="楷体"/>
          <w:b/>
          <w:bCs/>
          <w:sz w:val="28"/>
          <w:szCs w:val="28"/>
          <w:highlight w:val="none"/>
        </w:rPr>
        <w:t xml:space="preserve">二、评估目的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楷体" w:hAnsi="楷体" w:eastAsia="楷体"/>
          <w:bCs/>
          <w:sz w:val="28"/>
          <w:szCs w:val="28"/>
          <w:highlight w:val="none"/>
        </w:rPr>
      </w:pPr>
      <w:r>
        <w:rPr>
          <w:rFonts w:hint="eastAsia" w:ascii="楷体" w:hAnsi="楷体" w:eastAsia="楷体"/>
          <w:bCs/>
          <w:sz w:val="28"/>
          <w:szCs w:val="28"/>
          <w:highlight w:val="none"/>
        </w:rPr>
        <w:t>评估资产公允市场价值，为委托方对外转让资产提供价值参考，以维护有关各方的合法权益。</w:t>
      </w:r>
    </w:p>
    <w:p>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b/>
          <w:sz w:val="28"/>
          <w:szCs w:val="28"/>
          <w:highlight w:val="none"/>
        </w:rPr>
      </w:pPr>
      <w:r>
        <w:rPr>
          <w:rFonts w:hint="eastAsia" w:ascii="楷体" w:hAnsi="楷体" w:eastAsia="楷体"/>
          <w:b/>
          <w:sz w:val="28"/>
          <w:szCs w:val="28"/>
          <w:highlight w:val="none"/>
        </w:rPr>
        <w:t xml:space="preserve">三、评估对象和评估范围 </w:t>
      </w:r>
    </w:p>
    <w:p>
      <w:pPr>
        <w:pStyle w:val="3"/>
        <w:keepNext w:val="0"/>
        <w:keepLines w:val="0"/>
        <w:pageBreakBefore w:val="0"/>
        <w:widowControl w:val="0"/>
        <w:kinsoku/>
        <w:wordWrap/>
        <w:overflowPunct/>
        <w:topLinePunct w:val="0"/>
        <w:autoSpaceDE/>
        <w:autoSpaceDN/>
        <w:bidi w:val="0"/>
        <w:adjustRightInd/>
        <w:snapToGrid/>
        <w:spacing w:line="520" w:lineRule="exact"/>
        <w:ind w:firstLine="0"/>
        <w:textAlignment w:val="auto"/>
        <w:rPr>
          <w:rFonts w:hint="eastAsia" w:ascii="楷体" w:hAnsi="楷体" w:eastAsia="楷体"/>
          <w:sz w:val="28"/>
          <w:szCs w:val="28"/>
          <w:highlight w:val="none"/>
        </w:rPr>
      </w:pPr>
      <w:r>
        <w:rPr>
          <w:rFonts w:hint="eastAsia" w:ascii="楷体" w:hAnsi="楷体" w:eastAsia="楷体"/>
          <w:bCs/>
          <w:sz w:val="28"/>
          <w:szCs w:val="28"/>
          <w:highlight w:val="none"/>
        </w:rPr>
        <w:t xml:space="preserve">    </w:t>
      </w:r>
      <w:r>
        <w:rPr>
          <w:rFonts w:hint="eastAsia" w:ascii="楷体" w:hAnsi="楷体" w:eastAsia="楷体"/>
          <w:sz w:val="28"/>
          <w:szCs w:val="28"/>
          <w:highlight w:val="none"/>
        </w:rPr>
        <w:t>本次评估范围为</w:t>
      </w:r>
      <w:r>
        <w:rPr>
          <w:rFonts w:hint="eastAsia" w:ascii="楷体" w:hAnsi="楷体" w:eastAsia="楷体"/>
          <w:bCs/>
          <w:sz w:val="28"/>
          <w:szCs w:val="28"/>
          <w:highlight w:val="none"/>
          <w:lang w:val="en-US" w:eastAsia="zh-CN"/>
        </w:rPr>
        <w:t>江油市山地精英体育文化有限公司</w:t>
      </w:r>
      <w:r>
        <w:rPr>
          <w:rFonts w:hint="eastAsia" w:ascii="楷体" w:hAnsi="楷体" w:eastAsia="楷体"/>
          <w:sz w:val="28"/>
          <w:szCs w:val="28"/>
          <w:highlight w:val="none"/>
        </w:rPr>
        <w:t>所属</w:t>
      </w:r>
      <w:r>
        <w:rPr>
          <w:rFonts w:hint="eastAsia" w:ascii="楷体" w:hAnsi="楷体" w:eastAsia="楷体"/>
          <w:sz w:val="28"/>
          <w:szCs w:val="28"/>
          <w:highlight w:val="none"/>
          <w:lang w:val="en-US" w:eastAsia="zh-CN"/>
        </w:rPr>
        <w:t>的鹰嘴岩攀岩项目飞拉达</w:t>
      </w:r>
      <w:r>
        <w:rPr>
          <w:rFonts w:hint="eastAsia" w:ascii="楷体" w:hAnsi="楷体" w:eastAsia="楷体"/>
          <w:sz w:val="28"/>
          <w:szCs w:val="28"/>
          <w:highlight w:val="none"/>
        </w:rPr>
        <w:t>等资产（详见资产评估申报表）。</w:t>
      </w:r>
    </w:p>
    <w:p>
      <w:pPr>
        <w:pStyle w:val="3"/>
        <w:keepNext w:val="0"/>
        <w:keepLines w:val="0"/>
        <w:pageBreakBefore w:val="0"/>
        <w:widowControl w:val="0"/>
        <w:kinsoku/>
        <w:wordWrap/>
        <w:overflowPunct/>
        <w:topLinePunct w:val="0"/>
        <w:autoSpaceDE/>
        <w:autoSpaceDN/>
        <w:bidi w:val="0"/>
        <w:adjustRightInd/>
        <w:snapToGrid/>
        <w:spacing w:line="520" w:lineRule="exact"/>
        <w:ind w:firstLine="478" w:firstLineChars="170"/>
        <w:textAlignment w:val="auto"/>
        <w:rPr>
          <w:rFonts w:hint="eastAsia" w:ascii="楷体" w:hAnsi="楷体" w:eastAsia="楷体"/>
          <w:b/>
          <w:sz w:val="28"/>
          <w:szCs w:val="28"/>
          <w:highlight w:val="none"/>
        </w:rPr>
      </w:pPr>
      <w:r>
        <w:rPr>
          <w:rFonts w:hint="eastAsia" w:ascii="楷体" w:hAnsi="楷体" w:eastAsia="楷体"/>
          <w:b/>
          <w:sz w:val="28"/>
          <w:szCs w:val="28"/>
          <w:highlight w:val="none"/>
        </w:rPr>
        <w:t xml:space="preserve">四、评估基准日  </w:t>
      </w:r>
    </w:p>
    <w:p>
      <w:pPr>
        <w:keepNext w:val="0"/>
        <w:keepLines w:val="0"/>
        <w:pageBreakBefore w:val="0"/>
        <w:widowControl w:val="0"/>
        <w:kinsoku/>
        <w:wordWrap/>
        <w:overflowPunct/>
        <w:topLinePunct w:val="0"/>
        <w:autoSpaceDE/>
        <w:autoSpaceDN/>
        <w:bidi w:val="0"/>
        <w:adjustRightInd/>
        <w:snapToGrid/>
        <w:spacing w:line="520" w:lineRule="exact"/>
        <w:ind w:firstLine="422" w:firstLineChars="150"/>
        <w:textAlignment w:val="auto"/>
        <w:rPr>
          <w:rFonts w:hint="eastAsia" w:ascii="楷体" w:hAnsi="楷体" w:eastAsia="楷体"/>
          <w:b/>
          <w:bCs/>
          <w:sz w:val="28"/>
          <w:szCs w:val="28"/>
          <w:highlight w:val="none"/>
        </w:rPr>
      </w:pPr>
      <w:r>
        <w:rPr>
          <w:rFonts w:hint="eastAsia" w:ascii="楷体" w:hAnsi="楷体" w:eastAsia="楷体"/>
          <w:b/>
          <w:bCs/>
          <w:sz w:val="28"/>
          <w:szCs w:val="28"/>
          <w:highlight w:val="none"/>
        </w:rPr>
        <w:t xml:space="preserve"> </w:t>
      </w:r>
      <w:r>
        <w:rPr>
          <w:rFonts w:hint="eastAsia" w:ascii="楷体" w:hAnsi="楷体" w:eastAsia="楷体"/>
          <w:sz w:val="28"/>
          <w:szCs w:val="28"/>
          <w:highlight w:val="none"/>
        </w:rPr>
        <w:t>本项目评估基准日为 202</w:t>
      </w:r>
      <w:r>
        <w:rPr>
          <w:rFonts w:hint="eastAsia" w:ascii="楷体" w:hAnsi="楷体" w:eastAsia="楷体"/>
          <w:sz w:val="28"/>
          <w:szCs w:val="28"/>
          <w:highlight w:val="none"/>
          <w:lang w:val="en-US" w:eastAsia="zh-CN"/>
        </w:rPr>
        <w:t>3</w:t>
      </w:r>
      <w:r>
        <w:rPr>
          <w:rFonts w:hint="eastAsia" w:ascii="楷体" w:hAnsi="楷体" w:eastAsia="楷体"/>
          <w:sz w:val="28"/>
          <w:szCs w:val="28"/>
          <w:highlight w:val="none"/>
        </w:rPr>
        <w:t>年</w:t>
      </w:r>
      <w:r>
        <w:rPr>
          <w:rFonts w:hint="eastAsia" w:ascii="楷体" w:hAnsi="楷体" w:eastAsia="楷体"/>
          <w:sz w:val="28"/>
          <w:szCs w:val="28"/>
          <w:highlight w:val="none"/>
          <w:lang w:val="en-US" w:eastAsia="zh-CN"/>
        </w:rPr>
        <w:t xml:space="preserve"> </w:t>
      </w:r>
      <w:r>
        <w:rPr>
          <w:rFonts w:hint="eastAsia" w:ascii="楷体" w:hAnsi="楷体" w:eastAsia="楷体"/>
          <w:sz w:val="28"/>
          <w:szCs w:val="28"/>
          <w:highlight w:val="none"/>
        </w:rPr>
        <w:t>月</w:t>
      </w:r>
      <w:r>
        <w:rPr>
          <w:rFonts w:hint="eastAsia" w:ascii="楷体" w:hAnsi="楷体" w:eastAsia="楷体"/>
          <w:sz w:val="28"/>
          <w:szCs w:val="28"/>
          <w:highlight w:val="none"/>
          <w:lang w:val="en-US" w:eastAsia="zh-CN"/>
        </w:rPr>
        <w:t xml:space="preserve">  </w:t>
      </w:r>
      <w:r>
        <w:rPr>
          <w:rFonts w:hint="eastAsia" w:ascii="楷体" w:hAnsi="楷体" w:eastAsia="楷体"/>
          <w:sz w:val="28"/>
          <w:szCs w:val="28"/>
          <w:highlight w:val="none"/>
        </w:rPr>
        <w:t>日。</w:t>
      </w:r>
    </w:p>
    <w:p>
      <w:pPr>
        <w:keepNext w:val="0"/>
        <w:keepLines w:val="0"/>
        <w:pageBreakBefore w:val="0"/>
        <w:widowControl w:val="0"/>
        <w:kinsoku/>
        <w:wordWrap/>
        <w:overflowPunct/>
        <w:topLinePunct w:val="0"/>
        <w:autoSpaceDE/>
        <w:autoSpaceDN/>
        <w:bidi w:val="0"/>
        <w:adjustRightInd/>
        <w:snapToGrid/>
        <w:spacing w:line="520" w:lineRule="exact"/>
        <w:ind w:firstLine="422" w:firstLineChars="150"/>
        <w:textAlignment w:val="auto"/>
        <w:rPr>
          <w:rFonts w:hint="eastAsia" w:ascii="楷体" w:hAnsi="楷体" w:eastAsia="楷体"/>
          <w:b/>
          <w:bCs/>
          <w:sz w:val="28"/>
          <w:szCs w:val="28"/>
          <w:highlight w:val="none"/>
        </w:rPr>
      </w:pPr>
      <w:r>
        <w:rPr>
          <w:rFonts w:hint="eastAsia" w:ascii="楷体" w:hAnsi="楷体" w:eastAsia="楷体"/>
          <w:b/>
          <w:bCs/>
          <w:sz w:val="28"/>
          <w:szCs w:val="28"/>
          <w:highlight w:val="none"/>
        </w:rPr>
        <w:t xml:space="preserve">五、评估报告使用者 、使用范围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楷体" w:hAnsi="楷体" w:eastAsia="楷体"/>
          <w:bCs/>
          <w:sz w:val="28"/>
          <w:szCs w:val="28"/>
          <w:highlight w:val="none"/>
        </w:rPr>
      </w:pPr>
      <w:r>
        <w:rPr>
          <w:rFonts w:hint="eastAsia" w:ascii="楷体" w:hAnsi="楷体" w:eastAsia="楷体"/>
          <w:bCs/>
          <w:sz w:val="28"/>
          <w:szCs w:val="28"/>
          <w:highlight w:val="none"/>
        </w:rPr>
        <w:t>本报告使用者为</w:t>
      </w:r>
      <w:r>
        <w:rPr>
          <w:rFonts w:hint="eastAsia" w:ascii="楷体" w:hAnsi="楷体" w:eastAsia="楷体"/>
          <w:bCs/>
          <w:sz w:val="28"/>
          <w:szCs w:val="28"/>
          <w:highlight w:val="none"/>
          <w:lang w:val="en-US" w:eastAsia="zh-CN"/>
        </w:rPr>
        <w:t>江油市山地精英体育文化有限公司</w:t>
      </w:r>
      <w:r>
        <w:rPr>
          <w:rFonts w:hint="eastAsia" w:ascii="楷体" w:hAnsi="楷体" w:eastAsia="楷体"/>
          <w:bCs/>
          <w:sz w:val="28"/>
          <w:szCs w:val="28"/>
          <w:highlight w:val="none"/>
        </w:rPr>
        <w:t>及相关方，使用范围为评估目的列明的范围。</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楷体" w:hAnsi="楷体" w:eastAsia="楷体"/>
          <w:sz w:val="28"/>
          <w:szCs w:val="28"/>
          <w:highlight w:val="none"/>
        </w:rPr>
      </w:pPr>
      <w:r>
        <w:rPr>
          <w:rFonts w:hint="eastAsia" w:ascii="楷体" w:hAnsi="楷体" w:eastAsia="楷体"/>
          <w:b/>
          <w:bCs/>
          <w:sz w:val="28"/>
          <w:szCs w:val="28"/>
          <w:highlight w:val="none"/>
        </w:rPr>
        <w:t>六、评估报告提交期限和提交方式</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甲方在向乙方提供资产权属证明及相关资料，乙方收到甲方提供的资料并履行完必要的评估程序后完成甲方委托的评估工作，并向甲方提供正式的《资产评估报告书》。若因不可抗力因素需延长或提前完成评估工作，甲、乙双方需另行协商。</w:t>
      </w:r>
    </w:p>
    <w:p>
      <w:pPr>
        <w:keepNext w:val="0"/>
        <w:keepLines w:val="0"/>
        <w:pageBreakBefore w:val="0"/>
        <w:widowControl w:val="0"/>
        <w:kinsoku/>
        <w:wordWrap/>
        <w:overflowPunct/>
        <w:topLinePunct w:val="0"/>
        <w:autoSpaceDE/>
        <w:autoSpaceDN/>
        <w:bidi w:val="0"/>
        <w:adjustRightInd/>
        <w:snapToGrid/>
        <w:spacing w:line="520" w:lineRule="exact"/>
        <w:ind w:firstLine="422" w:firstLineChars="150"/>
        <w:textAlignment w:val="auto"/>
        <w:rPr>
          <w:rFonts w:hint="eastAsia" w:ascii="楷体" w:hAnsi="楷体" w:eastAsia="楷体"/>
          <w:b/>
          <w:bCs/>
          <w:sz w:val="28"/>
          <w:szCs w:val="28"/>
          <w:highlight w:val="none"/>
        </w:rPr>
      </w:pPr>
      <w:r>
        <w:rPr>
          <w:rFonts w:hint="eastAsia" w:ascii="楷体" w:hAnsi="楷体" w:eastAsia="楷体"/>
          <w:b/>
          <w:bCs/>
          <w:sz w:val="28"/>
          <w:szCs w:val="28"/>
          <w:highlight w:val="none"/>
        </w:rPr>
        <w:t>七、评估服务费总额、支付时间和方式</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1、收费标准</w:t>
      </w:r>
    </w:p>
    <w:p>
      <w:pPr>
        <w:keepNext w:val="0"/>
        <w:keepLines w:val="0"/>
        <w:pageBreakBefore w:val="0"/>
        <w:widowControl w:val="0"/>
        <w:kinsoku/>
        <w:wordWrap/>
        <w:overflowPunct/>
        <w:topLinePunct w:val="0"/>
        <w:autoSpaceDE/>
        <w:autoSpaceDN/>
        <w:bidi w:val="0"/>
        <w:adjustRightInd/>
        <w:snapToGrid/>
        <w:spacing w:line="520" w:lineRule="exact"/>
        <w:ind w:left="1" w:firstLine="560" w:firstLineChars="200"/>
        <w:textAlignment w:val="auto"/>
        <w:rPr>
          <w:rFonts w:hint="eastAsia" w:ascii="楷体" w:hAnsi="楷体" w:eastAsia="楷体"/>
          <w:sz w:val="28"/>
          <w:szCs w:val="28"/>
          <w:highlight w:val="none"/>
        </w:rPr>
      </w:pPr>
      <w:r>
        <w:rPr>
          <w:rFonts w:hint="eastAsia" w:ascii="楷体" w:hAnsi="楷体" w:eastAsia="楷体"/>
          <w:sz w:val="28"/>
          <w:szCs w:val="28"/>
          <w:highlight w:val="none"/>
        </w:rPr>
        <w:t>参照四川省资产评估协会川资评协（2017）23号文件规定及此次评估之特定目的，依据竞标中标价，按照评估原值，经计算后下浮</w:t>
      </w:r>
      <w:r>
        <w:rPr>
          <w:rFonts w:hint="eastAsia" w:ascii="楷体" w:hAnsi="楷体" w:eastAsia="楷体"/>
          <w:sz w:val="28"/>
          <w:szCs w:val="28"/>
          <w:highlight w:val="none"/>
          <w:u w:val="single"/>
          <w:lang w:val="en-US" w:eastAsia="zh-CN"/>
        </w:rPr>
        <w:t xml:space="preserve">   </w:t>
      </w:r>
      <w:r>
        <w:rPr>
          <w:rFonts w:hint="eastAsia" w:ascii="楷体" w:hAnsi="楷体" w:eastAsia="楷体"/>
          <w:sz w:val="28"/>
          <w:szCs w:val="28"/>
          <w:highlight w:val="none"/>
        </w:rPr>
        <w:t>%收取评估服务费。</w:t>
      </w:r>
    </w:p>
    <w:p>
      <w:pPr>
        <w:keepNext w:val="0"/>
        <w:keepLines w:val="0"/>
        <w:pageBreakBefore w:val="0"/>
        <w:widowControl w:val="0"/>
        <w:kinsoku/>
        <w:wordWrap/>
        <w:overflowPunct/>
        <w:topLinePunct w:val="0"/>
        <w:autoSpaceDE/>
        <w:autoSpaceDN/>
        <w:bidi w:val="0"/>
        <w:adjustRightInd/>
        <w:snapToGrid/>
        <w:spacing w:line="520" w:lineRule="exact"/>
        <w:ind w:left="1" w:firstLine="560" w:firstLineChars="200"/>
        <w:textAlignment w:val="auto"/>
        <w:rPr>
          <w:rFonts w:hint="eastAsia" w:ascii="楷体" w:hAnsi="楷体" w:eastAsia="楷体"/>
          <w:sz w:val="28"/>
          <w:szCs w:val="28"/>
          <w:highlight w:val="none"/>
        </w:rPr>
      </w:pPr>
      <w:r>
        <w:rPr>
          <w:rFonts w:hint="eastAsia" w:ascii="楷体" w:hAnsi="楷体" w:eastAsia="楷体"/>
          <w:sz w:val="28"/>
          <w:szCs w:val="28"/>
          <w:highlight w:val="none"/>
        </w:rPr>
        <w:t>2、付款方式为本约定书签字生效后、在乙方提交正式资产评估报告书且提供增值税专用发票后1</w:t>
      </w:r>
      <w:r>
        <w:rPr>
          <w:rFonts w:ascii="楷体" w:hAnsi="楷体" w:eastAsia="楷体"/>
          <w:sz w:val="28"/>
          <w:szCs w:val="28"/>
          <w:highlight w:val="none"/>
        </w:rPr>
        <w:t>0</w:t>
      </w:r>
      <w:r>
        <w:rPr>
          <w:rFonts w:hint="eastAsia" w:ascii="楷体" w:hAnsi="楷体" w:eastAsia="楷体"/>
          <w:sz w:val="28"/>
          <w:szCs w:val="28"/>
          <w:highlight w:val="none"/>
        </w:rPr>
        <w:t>日内一次性付清。</w:t>
      </w:r>
    </w:p>
    <w:p>
      <w:pPr>
        <w:keepNext w:val="0"/>
        <w:keepLines w:val="0"/>
        <w:pageBreakBefore w:val="0"/>
        <w:widowControl w:val="0"/>
        <w:kinsoku/>
        <w:wordWrap/>
        <w:overflowPunct/>
        <w:topLinePunct w:val="0"/>
        <w:autoSpaceDE/>
        <w:autoSpaceDN/>
        <w:bidi w:val="0"/>
        <w:adjustRightInd/>
        <w:snapToGrid/>
        <w:spacing w:line="520" w:lineRule="exact"/>
        <w:ind w:firstLine="422" w:firstLineChars="150"/>
        <w:textAlignment w:val="auto"/>
        <w:rPr>
          <w:rFonts w:hint="eastAsia" w:ascii="楷体" w:hAnsi="楷体" w:eastAsia="楷体"/>
          <w:b/>
          <w:bCs/>
          <w:sz w:val="28"/>
          <w:szCs w:val="28"/>
          <w:highlight w:val="none"/>
        </w:rPr>
      </w:pPr>
      <w:r>
        <w:rPr>
          <w:rFonts w:hint="eastAsia" w:ascii="楷体" w:hAnsi="楷体" w:eastAsia="楷体"/>
          <w:b/>
          <w:bCs/>
          <w:sz w:val="28"/>
          <w:szCs w:val="28"/>
          <w:highlight w:val="none"/>
        </w:rPr>
        <w:t>八、评估机构和委托方的其他权利和义务</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楷体" w:hAnsi="楷体" w:eastAsia="楷体"/>
          <w:sz w:val="28"/>
          <w:szCs w:val="28"/>
          <w:highlight w:val="none"/>
        </w:rPr>
      </w:pPr>
      <w:r>
        <w:rPr>
          <w:rFonts w:hint="eastAsia" w:ascii="楷体" w:hAnsi="楷体" w:eastAsia="楷体"/>
          <w:sz w:val="28"/>
          <w:szCs w:val="28"/>
          <w:highlight w:val="none"/>
        </w:rPr>
        <w:t>1、在评估工作执行过程中，乙方应坚持独立、客观、公正的原则进行评估，认真执行有关法律和法规，对出具的《资产评估报告书》负相应的法律责任。</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2、乙方应遵守职业道德，对甲方提供的内部资料和评估结果严守秘密。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3、乙方应按约定期限提交《资产评估报告书》，但若因甲方不能按规定时间提供资料，乙方有权延长交付报告书时间。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楷体" w:hAnsi="楷体" w:eastAsia="楷体"/>
          <w:b/>
          <w:bCs/>
          <w:sz w:val="28"/>
          <w:szCs w:val="28"/>
          <w:highlight w:val="none"/>
        </w:rPr>
      </w:pPr>
      <w:r>
        <w:rPr>
          <w:rFonts w:hint="eastAsia" w:ascii="楷体" w:hAnsi="楷体" w:eastAsia="楷体"/>
          <w:sz w:val="28"/>
          <w:szCs w:val="28"/>
          <w:highlight w:val="none"/>
        </w:rPr>
        <w:t>4、在评估过程中，若因甲方原因提出重大更改或乙方在评估工作中遇到重大问题造成乙方返工或实际花费的评估工作时间有大幅度增加，双方应另行协商加收评估费用和延长出具《资产评估报告书》时间。</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5、甲方应按约定的日期为乙方提供与评估相关的文件、资料、并对提供的文件、资料的真实性、准确性和合法性负责。</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6、乙方评估人员到甲方现场工作，甲方应提供必要的办公条件并给予协助。</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7、乙方在评估工作中需甲方配合的，特别是进行现场勘察或资产清查核实工作时，甲方应指定相应专业的技术人员及其它有关人员积极配合，使评估工作顺利进行。</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8、甲方应为乙方在工作过程中协调企业内部及评估有关的外部管理部门的关系创造良好条件。 </w:t>
      </w:r>
    </w:p>
    <w:p>
      <w:pPr>
        <w:keepNext w:val="0"/>
        <w:keepLines w:val="0"/>
        <w:pageBreakBefore w:val="0"/>
        <w:widowControl w:val="0"/>
        <w:kinsoku/>
        <w:wordWrap/>
        <w:overflowPunct/>
        <w:topLinePunct w:val="0"/>
        <w:autoSpaceDE/>
        <w:autoSpaceDN/>
        <w:bidi w:val="0"/>
        <w:adjustRightInd/>
        <w:snapToGrid/>
        <w:spacing w:line="520" w:lineRule="exact"/>
        <w:ind w:left="525"/>
        <w:textAlignment w:val="auto"/>
        <w:rPr>
          <w:rFonts w:hint="eastAsia" w:ascii="楷体" w:hAnsi="楷体" w:eastAsia="楷体"/>
          <w:b/>
          <w:bCs/>
          <w:sz w:val="28"/>
          <w:szCs w:val="28"/>
          <w:highlight w:val="none"/>
        </w:rPr>
      </w:pPr>
      <w:r>
        <w:rPr>
          <w:rFonts w:hint="eastAsia" w:ascii="楷体" w:hAnsi="楷体" w:eastAsia="楷体"/>
          <w:b/>
          <w:bCs/>
          <w:sz w:val="28"/>
          <w:szCs w:val="28"/>
          <w:highlight w:val="none"/>
        </w:rPr>
        <w:t>九、违约责任和争议解决</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1、如乙方无故终止履行本合同，所收评估费用应退还甲方，如甲方无故终止本合同，乙方有权终止评估并且不退还评估费用。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2、甲、乙双方如一方违反本合同，应根据《中华人民共和国民法典》的有关规定，向对方支付违约金，违约金按评估服务费的20%支付，造成经济损失的，还应进行赔偿。</w:t>
      </w:r>
    </w:p>
    <w:p>
      <w:pPr>
        <w:keepNext w:val="0"/>
        <w:keepLines w:val="0"/>
        <w:pageBreakBefore w:val="0"/>
        <w:widowControl w:val="0"/>
        <w:tabs>
          <w:tab w:val="left" w:pos="540"/>
        </w:tabs>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3、乙方向甲方出具《资产评估报告书》一式</w:t>
      </w:r>
      <w:r>
        <w:rPr>
          <w:rFonts w:hint="eastAsia" w:ascii="楷体" w:hAnsi="楷体" w:eastAsia="楷体"/>
          <w:b/>
          <w:sz w:val="28"/>
          <w:szCs w:val="28"/>
          <w:highlight w:val="none"/>
          <w:u w:val="single"/>
        </w:rPr>
        <w:t>叁</w:t>
      </w:r>
      <w:r>
        <w:rPr>
          <w:rFonts w:hint="eastAsia" w:ascii="楷体" w:hAnsi="楷体" w:eastAsia="楷体"/>
          <w:sz w:val="28"/>
          <w:szCs w:val="28"/>
          <w:highlight w:val="none"/>
        </w:rPr>
        <w:t>份，具有同等法律效力。甲方应按本合同所约定的评估目的正确使用，甲方因使用报告不当的责任与乙方无关。</w:t>
      </w:r>
    </w:p>
    <w:p>
      <w:pPr>
        <w:keepNext w:val="0"/>
        <w:keepLines w:val="0"/>
        <w:pageBreakBefore w:val="0"/>
        <w:widowControl w:val="0"/>
        <w:kinsoku/>
        <w:wordWrap/>
        <w:overflowPunct/>
        <w:topLinePunct w:val="0"/>
        <w:autoSpaceDE/>
        <w:autoSpaceDN/>
        <w:bidi w:val="0"/>
        <w:adjustRightInd/>
        <w:snapToGrid/>
        <w:spacing w:line="520" w:lineRule="exact"/>
        <w:ind w:firstLine="532" w:firstLineChars="190"/>
        <w:textAlignment w:val="auto"/>
        <w:rPr>
          <w:rFonts w:hint="eastAsia" w:ascii="楷体" w:hAnsi="楷体" w:eastAsia="楷体"/>
          <w:sz w:val="28"/>
          <w:szCs w:val="28"/>
          <w:highlight w:val="none"/>
        </w:rPr>
      </w:pPr>
      <w:r>
        <w:rPr>
          <w:rFonts w:hint="eastAsia" w:ascii="楷体" w:hAnsi="楷体" w:eastAsia="楷体"/>
          <w:bCs/>
          <w:sz w:val="28"/>
          <w:szCs w:val="28"/>
          <w:highlight w:val="none"/>
        </w:rPr>
        <w:t>4、</w:t>
      </w:r>
      <w:r>
        <w:rPr>
          <w:rFonts w:hint="eastAsia" w:ascii="楷体" w:hAnsi="楷体" w:eastAsia="楷体"/>
          <w:sz w:val="28"/>
          <w:szCs w:val="28"/>
          <w:highlight w:val="none"/>
        </w:rPr>
        <w:t>资产评估委托合同履行过程中如遇特殊情况或未尽事宜，经双方协商议定，如产生争议，向</w:t>
      </w:r>
      <w:r>
        <w:rPr>
          <w:rFonts w:hint="eastAsia" w:ascii="楷体" w:hAnsi="楷体" w:eastAsia="楷体"/>
          <w:color w:val="auto"/>
          <w:sz w:val="28"/>
          <w:szCs w:val="28"/>
          <w:highlight w:val="none"/>
        </w:rPr>
        <w:t>甲</w:t>
      </w:r>
      <w:r>
        <w:rPr>
          <w:rFonts w:hint="eastAsia" w:ascii="楷体" w:hAnsi="楷体" w:eastAsia="楷体"/>
          <w:sz w:val="28"/>
          <w:szCs w:val="28"/>
          <w:highlight w:val="none"/>
        </w:rPr>
        <w:t>方所在地人民法院提起诉讼。</w:t>
      </w:r>
    </w:p>
    <w:p>
      <w:pPr>
        <w:keepNext w:val="0"/>
        <w:keepLines w:val="0"/>
        <w:pageBreakBefore w:val="0"/>
        <w:widowControl w:val="0"/>
        <w:kinsoku/>
        <w:wordWrap/>
        <w:overflowPunct/>
        <w:topLinePunct w:val="0"/>
        <w:autoSpaceDE/>
        <w:autoSpaceDN/>
        <w:bidi w:val="0"/>
        <w:adjustRightInd/>
        <w:snapToGrid/>
        <w:spacing w:line="520" w:lineRule="exact"/>
        <w:ind w:firstLine="532" w:firstLineChars="190"/>
        <w:textAlignment w:val="auto"/>
        <w:rPr>
          <w:rFonts w:hint="eastAsia" w:ascii="楷体" w:hAnsi="楷体" w:eastAsia="楷体"/>
          <w:sz w:val="28"/>
          <w:szCs w:val="28"/>
          <w:highlight w:val="none"/>
        </w:rPr>
      </w:pPr>
      <w:r>
        <w:rPr>
          <w:rFonts w:hint="eastAsia" w:ascii="楷体" w:hAnsi="楷体" w:eastAsia="楷体"/>
          <w:sz w:val="28"/>
          <w:szCs w:val="28"/>
          <w:highlight w:val="none"/>
        </w:rPr>
        <w:t>5、本合同一式</w:t>
      </w:r>
      <w:r>
        <w:rPr>
          <w:rFonts w:hint="eastAsia" w:ascii="楷体" w:hAnsi="楷体" w:eastAsia="楷体"/>
          <w:b/>
          <w:bCs/>
          <w:sz w:val="28"/>
          <w:szCs w:val="28"/>
          <w:highlight w:val="none"/>
          <w:u w:val="single"/>
        </w:rPr>
        <w:t>贰</w:t>
      </w:r>
      <w:r>
        <w:rPr>
          <w:rFonts w:hint="eastAsia" w:ascii="楷体" w:hAnsi="楷体" w:eastAsia="楷体"/>
          <w:sz w:val="28"/>
          <w:szCs w:val="28"/>
          <w:highlight w:val="none"/>
        </w:rPr>
        <w:t>份，甲、乙方各执</w:t>
      </w:r>
      <w:r>
        <w:rPr>
          <w:rFonts w:hint="eastAsia" w:ascii="楷体" w:hAnsi="楷体" w:eastAsia="楷体"/>
          <w:b/>
          <w:bCs/>
          <w:sz w:val="28"/>
          <w:szCs w:val="28"/>
          <w:highlight w:val="none"/>
          <w:u w:val="single"/>
        </w:rPr>
        <w:t>壹</w:t>
      </w:r>
      <w:r>
        <w:rPr>
          <w:rFonts w:hint="eastAsia" w:ascii="楷体" w:hAnsi="楷体" w:eastAsia="楷体"/>
          <w:sz w:val="28"/>
          <w:szCs w:val="28"/>
          <w:highlight w:val="none"/>
        </w:rPr>
        <w:t>份，经甲乙双方法定代表人签字并加盖公章后生效。</w:t>
      </w:r>
    </w:p>
    <w:p>
      <w:pPr>
        <w:keepNext w:val="0"/>
        <w:keepLines w:val="0"/>
        <w:pageBreakBefore w:val="0"/>
        <w:widowControl w:val="0"/>
        <w:kinsoku/>
        <w:wordWrap/>
        <w:overflowPunct/>
        <w:topLinePunct w:val="0"/>
        <w:autoSpaceDE/>
        <w:autoSpaceDN/>
        <w:bidi w:val="0"/>
        <w:adjustRightInd/>
        <w:snapToGrid/>
        <w:spacing w:line="520" w:lineRule="exact"/>
        <w:ind w:firstLine="532" w:firstLineChars="190"/>
        <w:textAlignment w:val="auto"/>
        <w:rPr>
          <w:rFonts w:hint="eastAsia" w:ascii="楷体" w:hAnsi="楷体" w:eastAsia="楷体"/>
          <w:sz w:val="28"/>
          <w:szCs w:val="28"/>
          <w:highlight w:val="none"/>
        </w:rPr>
      </w:pP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highlight w:val="non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甲  方：                      乙   方：</w:t>
      </w:r>
    </w:p>
    <w:p>
      <w:pPr>
        <w:keepNext w:val="0"/>
        <w:keepLines w:val="0"/>
        <w:pageBreakBefore w:val="0"/>
        <w:widowControl w:val="0"/>
        <w:kinsoku/>
        <w:wordWrap/>
        <w:overflowPunct/>
        <w:topLinePunct w:val="0"/>
        <w:autoSpaceDE/>
        <w:autoSpaceDN/>
        <w:bidi w:val="0"/>
        <w:adjustRightInd/>
        <w:snapToGrid/>
        <w:spacing w:line="520" w:lineRule="exact"/>
        <w:ind w:left="5600" w:hanging="5600" w:hangingChars="2000"/>
        <w:textAlignment w:val="auto"/>
        <w:rPr>
          <w:rFonts w:hint="eastAsia" w:ascii="楷体" w:hAnsi="楷体" w:eastAsia="楷体"/>
          <w:sz w:val="28"/>
          <w:szCs w:val="28"/>
          <w:highlight w:val="none"/>
        </w:rPr>
      </w:pPr>
      <w:r>
        <w:rPr>
          <w:rFonts w:hint="eastAsia" w:ascii="楷体" w:hAnsi="楷体" w:eastAsia="楷体"/>
          <w:sz w:val="28"/>
          <w:szCs w:val="28"/>
          <w:highlight w:val="none"/>
        </w:rPr>
        <w:t>法定代表人：                  执行事务合伙人：</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联系人：                      联系人：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电话：                        电话：</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传真：                        传真：</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地址：                        地址：</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楷体" w:hAnsi="楷体" w:eastAsia="楷体"/>
          <w:sz w:val="28"/>
          <w:szCs w:val="28"/>
          <w:highlight w:val="none"/>
        </w:rPr>
      </w:pPr>
      <w:r>
        <w:rPr>
          <w:rFonts w:hint="eastAsia" w:ascii="楷体" w:hAnsi="楷体" w:eastAsia="楷体"/>
          <w:sz w:val="28"/>
          <w:szCs w:val="28"/>
          <w:highlight w:val="none"/>
        </w:rPr>
        <w:t xml:space="preserve"> 邮编：                        邮编：</w:t>
      </w:r>
    </w:p>
    <w:p>
      <w:pPr>
        <w:keepNext w:val="0"/>
        <w:keepLines w:val="0"/>
        <w:pageBreakBefore w:val="0"/>
        <w:widowControl w:val="0"/>
        <w:kinsoku/>
        <w:wordWrap/>
        <w:overflowPunct/>
        <w:topLinePunct w:val="0"/>
        <w:autoSpaceDE/>
        <w:autoSpaceDN/>
        <w:bidi w:val="0"/>
        <w:adjustRightInd/>
        <w:snapToGrid/>
        <w:spacing w:line="520" w:lineRule="exact"/>
        <w:ind w:firstLine="2100" w:firstLineChars="750"/>
        <w:textAlignment w:val="auto"/>
        <w:rPr>
          <w:rFonts w:hint="eastAsia" w:ascii="楷体" w:hAnsi="楷体" w:eastAsia="楷体"/>
          <w:sz w:val="28"/>
          <w:szCs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2100" w:firstLineChars="750"/>
        <w:jc w:val="right"/>
        <w:textAlignment w:val="auto"/>
        <w:rPr>
          <w:rFonts w:hint="eastAsia" w:ascii="楷体" w:hAnsi="楷体" w:eastAsia="楷体"/>
          <w:sz w:val="28"/>
          <w:szCs w:val="28"/>
          <w:highlight w:val="none"/>
        </w:rPr>
      </w:pPr>
      <w:r>
        <w:rPr>
          <w:rFonts w:hint="eastAsia" w:ascii="楷体" w:hAnsi="楷体" w:eastAsia="楷体"/>
          <w:sz w:val="28"/>
          <w:szCs w:val="28"/>
          <w:highlight w:val="none"/>
        </w:rPr>
        <w:t>签约时间:</w:t>
      </w:r>
      <w:r>
        <w:rPr>
          <w:rFonts w:hint="eastAsia" w:ascii="楷体" w:hAnsi="楷体" w:eastAsia="楷体"/>
          <w:sz w:val="28"/>
          <w:szCs w:val="28"/>
          <w:highlight w:val="none"/>
          <w:lang w:val="en-US" w:eastAsia="zh-CN"/>
        </w:rPr>
        <w:t xml:space="preserve">    </w:t>
      </w:r>
      <w:r>
        <w:rPr>
          <w:rFonts w:hint="eastAsia" w:ascii="楷体" w:hAnsi="楷体" w:eastAsia="楷体"/>
          <w:sz w:val="28"/>
          <w:szCs w:val="28"/>
          <w:highlight w:val="none"/>
        </w:rPr>
        <w:t xml:space="preserve">年 </w:t>
      </w:r>
      <w:r>
        <w:rPr>
          <w:rFonts w:hint="eastAsia" w:ascii="楷体" w:hAnsi="楷体" w:eastAsia="楷体"/>
          <w:sz w:val="28"/>
          <w:szCs w:val="28"/>
          <w:highlight w:val="none"/>
          <w:lang w:val="en-US" w:eastAsia="zh-CN"/>
        </w:rPr>
        <w:t xml:space="preserve"> </w:t>
      </w:r>
      <w:r>
        <w:rPr>
          <w:rFonts w:hint="eastAsia" w:ascii="楷体" w:hAnsi="楷体" w:eastAsia="楷体"/>
          <w:sz w:val="28"/>
          <w:szCs w:val="28"/>
          <w:highlight w:val="none"/>
        </w:rPr>
        <w:t>月</w:t>
      </w:r>
      <w:r>
        <w:rPr>
          <w:rFonts w:hint="eastAsia" w:ascii="楷体" w:hAnsi="楷体" w:eastAsia="楷体"/>
          <w:sz w:val="28"/>
          <w:szCs w:val="28"/>
          <w:highlight w:val="none"/>
          <w:lang w:val="en-US" w:eastAsia="zh-CN"/>
        </w:rPr>
        <w:t xml:space="preserve">  </w:t>
      </w:r>
      <w:r>
        <w:rPr>
          <w:rFonts w:hint="eastAsia" w:ascii="楷体" w:hAnsi="楷体" w:eastAsia="楷体"/>
          <w:sz w:val="28"/>
          <w:szCs w:val="28"/>
          <w:highlight w:val="none"/>
        </w:rPr>
        <w:t>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C5519"/>
    <w:multiLevelType w:val="multilevel"/>
    <w:tmpl w:val="2CBC5519"/>
    <w:lvl w:ilvl="0" w:tentative="0">
      <w:start w:val="1"/>
      <w:numFmt w:val="japaneseCounting"/>
      <w:lvlText w:val="%1、"/>
      <w:lvlJc w:val="left"/>
      <w:pPr>
        <w:tabs>
          <w:tab w:val="left" w:pos="1245"/>
        </w:tabs>
        <w:ind w:left="1245" w:hanging="720"/>
      </w:pPr>
      <w:rPr>
        <w:rFonts w:hint="eastAsia"/>
      </w:rPr>
    </w:lvl>
    <w:lvl w:ilvl="1" w:tentative="0">
      <w:start w:val="1"/>
      <w:numFmt w:val="lowerLetter"/>
      <w:lvlText w:val="%2)"/>
      <w:lvlJc w:val="left"/>
      <w:pPr>
        <w:tabs>
          <w:tab w:val="left" w:pos="1365"/>
        </w:tabs>
        <w:ind w:left="1365" w:hanging="420"/>
      </w:pPr>
    </w:lvl>
    <w:lvl w:ilvl="2" w:tentative="0">
      <w:start w:val="1"/>
      <w:numFmt w:val="lowerRoman"/>
      <w:lvlText w:val="%3."/>
      <w:lvlJc w:val="right"/>
      <w:pPr>
        <w:tabs>
          <w:tab w:val="left" w:pos="1785"/>
        </w:tabs>
        <w:ind w:left="1785" w:hanging="420"/>
      </w:pPr>
    </w:lvl>
    <w:lvl w:ilvl="3" w:tentative="0">
      <w:start w:val="1"/>
      <w:numFmt w:val="decimal"/>
      <w:lvlText w:val="%4."/>
      <w:lvlJc w:val="left"/>
      <w:pPr>
        <w:tabs>
          <w:tab w:val="left" w:pos="2205"/>
        </w:tabs>
        <w:ind w:left="2205" w:hanging="420"/>
      </w:pPr>
    </w:lvl>
    <w:lvl w:ilvl="4" w:tentative="0">
      <w:start w:val="1"/>
      <w:numFmt w:val="lowerLetter"/>
      <w:lvlText w:val="%5)"/>
      <w:lvlJc w:val="left"/>
      <w:pPr>
        <w:tabs>
          <w:tab w:val="left" w:pos="2625"/>
        </w:tabs>
        <w:ind w:left="2625" w:hanging="420"/>
      </w:pPr>
    </w:lvl>
    <w:lvl w:ilvl="5" w:tentative="0">
      <w:start w:val="1"/>
      <w:numFmt w:val="lowerRoman"/>
      <w:lvlText w:val="%6."/>
      <w:lvlJc w:val="right"/>
      <w:pPr>
        <w:tabs>
          <w:tab w:val="left" w:pos="3045"/>
        </w:tabs>
        <w:ind w:left="3045" w:hanging="420"/>
      </w:pPr>
    </w:lvl>
    <w:lvl w:ilvl="6" w:tentative="0">
      <w:start w:val="1"/>
      <w:numFmt w:val="decimal"/>
      <w:lvlText w:val="%7."/>
      <w:lvlJc w:val="left"/>
      <w:pPr>
        <w:tabs>
          <w:tab w:val="left" w:pos="3465"/>
        </w:tabs>
        <w:ind w:left="3465" w:hanging="420"/>
      </w:pPr>
    </w:lvl>
    <w:lvl w:ilvl="7" w:tentative="0">
      <w:start w:val="1"/>
      <w:numFmt w:val="lowerLetter"/>
      <w:lvlText w:val="%8)"/>
      <w:lvlJc w:val="left"/>
      <w:pPr>
        <w:tabs>
          <w:tab w:val="left" w:pos="3885"/>
        </w:tabs>
        <w:ind w:left="3885" w:hanging="420"/>
      </w:pPr>
    </w:lvl>
    <w:lvl w:ilvl="8" w:tentative="0">
      <w:start w:val="1"/>
      <w:numFmt w:val="lowerRoman"/>
      <w:lvlText w:val="%9."/>
      <w:lvlJc w:val="right"/>
      <w:pPr>
        <w:tabs>
          <w:tab w:val="left" w:pos="4305"/>
        </w:tabs>
        <w:ind w:left="430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156F6075"/>
    <w:rsid w:val="156F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Body Text Indent"/>
    <w:basedOn w:val="1"/>
    <w:qFormat/>
    <w:uiPriority w:val="0"/>
    <w:pPr>
      <w:spacing w:line="360" w:lineRule="exact"/>
      <w:ind w:firstLine="420"/>
    </w:pPr>
    <w:rPr>
      <w:rFonts w:ascii="楷体_GB2312" w:eastAsia="楷体_GB2312"/>
      <w:sz w:val="30"/>
    </w:rPr>
  </w:style>
  <w:style w:type="paragraph" w:styleId="4">
    <w:name w:val="footer"/>
    <w:basedOn w:val="1"/>
    <w:qFormat/>
    <w:uiPriority w:val="99"/>
    <w:pPr>
      <w:tabs>
        <w:tab w:val="center" w:pos="4153"/>
        <w:tab w:val="right" w:pos="8306"/>
      </w:tabs>
      <w:snapToGrid w:val="0"/>
      <w:jc w:val="left"/>
    </w:pPr>
    <w:rPr>
      <w:sz w:val="18"/>
      <w:szCs w:val="20"/>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2023-05-23T06:23:00Z</dcterms:created>
  <dc:creator>一路向前</dc:creator>
  <cp:lastModifiedBy>一路向前</cp:lastModifiedBy>
  <dcterms:modified xsi:type="dcterms:W3CDTF">2023-05-23T06:29:09Z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F204CBA1CDDD42DC9E238634738F10B4_11</vt:lpwstr>
  </property>
</Properties>
</file>