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附件1：竞标函模板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2022年所得税汇算服务项目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竞标函</w:t>
      </w:r>
    </w:p>
    <w:p>
      <w:pPr>
        <w:pStyle w:val="4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我方全面研究了“2022年所得税汇算服务项目”比选公告，决定参加贵单位组织的本项目比选，并自觉遵守采购相关规定，遵守采购规则，维护正常的采购秩序。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为含税价人民币       万元（大写：        ）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附件：报价清单</w:t>
      </w:r>
    </w:p>
    <w:p>
      <w:pPr>
        <w:pStyle w:val="2"/>
        <w:ind w:firstLine="1120" w:firstLineChars="40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投标时间：  年  月  日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报价清单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default" w:eastAsia="宋体"/>
          <w:lang w:val="en-US" w:eastAsia="zh-CN"/>
        </w:rPr>
      </w:pPr>
    </w:p>
    <w:tbl>
      <w:tblPr>
        <w:tblStyle w:val="5"/>
        <w:tblW w:w="89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5"/>
        <w:gridCol w:w="1443"/>
        <w:gridCol w:w="1359"/>
        <w:gridCol w:w="1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业务类型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报价（万元）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江油畅游旅行社有限公司</w:t>
            </w:r>
          </w:p>
        </w:tc>
        <w:tc>
          <w:tcPr>
            <w:tcW w:w="14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2022年度企业所得税年度纳税申报汇算清缴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江油市海棠小镇旅游发展有限公司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江油市鸿飞旅游发展有限公司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江油市李白故居文化旅游开发有限公司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江油市李白故居文化旅游开发有限公司演艺分公司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江油市李白故居文化旅游开发有限公司展览分公司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江油市文化旅游发展有限公司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四川江油画屏尚景景区管理有限责任公司</w:t>
            </w:r>
          </w:p>
        </w:tc>
        <w:tc>
          <w:tcPr>
            <w:tcW w:w="14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合    计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投标时间：  年  月  日</w:t>
      </w:r>
    </w:p>
    <w:p/>
    <w:sectPr>
      <w:footerReference r:id="rId5" w:type="default"/>
      <w:pgSz w:w="11906" w:h="16838"/>
      <w:pgMar w:top="1134" w:right="1587" w:bottom="1440" w:left="1587" w:header="851" w:footer="992" w:gutter="0"/>
      <w:cols w:space="0" w:num="1"/>
      <w:rtlGutter w:val="0"/>
      <w:docGrid w:type="lines" w:linePitch="34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3CC858D7"/>
    <w:rsid w:val="3CC8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2023-05-06T08:05:00Z</dcterms:created>
  <dc:creator>一路向前</dc:creator>
  <cp:lastModifiedBy>一路向前</cp:lastModifiedBy>
  <dcterms:modified xsi:type="dcterms:W3CDTF">2023-05-06T08:05:50Z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86B334E725C048D88F14F54755222FA9_11</vt:lpwstr>
  </property>
</Properties>
</file>