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为蜀游公司旗下青莲欧洲院子采购一批建筑材料、成品家具等物资以及暖通维修服务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2"/>
        <w:numPr>
          <w:ilvl w:val="0"/>
          <w:numId w:val="0"/>
        </w:numPr>
        <w:ind w:leftChars="0" w:right="0" w:rightChars="0"/>
        <w:jc w:val="center"/>
        <w:rPr>
          <w:rFonts w:hint="default"/>
          <w:lang w:val="en-US" w:eastAsia="zh-CN"/>
        </w:rPr>
      </w:pPr>
      <w:r>
        <w:rPr>
          <w:rFonts w:hint="eastAsia"/>
          <w:lang w:val="en-US" w:eastAsia="zh-CN"/>
        </w:rPr>
        <w:t>青莲欧洲院子物资采购明细表</w:t>
      </w:r>
    </w:p>
    <w:tbl>
      <w:tblPr>
        <w:tblStyle w:val="4"/>
        <w:tblW w:w="1139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4"/>
        <w:gridCol w:w="1545"/>
        <w:gridCol w:w="840"/>
        <w:gridCol w:w="1864"/>
        <w:gridCol w:w="1871"/>
        <w:gridCol w:w="833"/>
        <w:gridCol w:w="945"/>
        <w:gridCol w:w="1629"/>
        <w:gridCol w:w="12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序号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品牌</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规格型号</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材质</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单位</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数量</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备注</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蹲便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九牧</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625*455*215mm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陶瓷</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洁具、五金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水箱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九牧</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5L</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含存水弯</w:t>
            </w: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感应小便池</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科勒</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350*350*890mm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陶瓷</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洗手台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安华</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1020*645*300mm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陶瓷、大理石</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一体盆</w:t>
            </w: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五金件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日丰</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304不锈钢</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套</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龙头、阀门、软管</w:t>
            </w: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地漏</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日丰</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100*100*50mm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隔断</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2000*800*18mm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实木多层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建材、物料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壁插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公牛</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86*86*8.5mm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开关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公牛</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86*86*8.5mm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筒灯</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公牛</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95*33.5*70mm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26</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射灯</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公牛</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85*70*75mm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45</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电线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名鸽</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BV2.5/100米</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铜芯</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大自然</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M0921</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实木免漆</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扇</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门套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大自然</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实木免漆</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套</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加气块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300*10*600mm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1150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镀锌矩管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80*40*2.5mm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夹心瓦</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1200*600*120mm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保温岩棉夹芯板</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73.6</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石膏板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兔宝宝</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2400*1200*9.5mm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73.6</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龙骨架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欧普</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300*300*6mm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轻钢</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73.6</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瓷砖</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东鹏</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400*400mm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通体釉面</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张</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18.25</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瓷砖</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东鹏</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300*600</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通体釉面</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张</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46</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瓷砖</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东鹏</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800*800</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通体釉面</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张</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55.35</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多乐士</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15L</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桶</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腻子粉</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美丽居</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5kg</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袋</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踢脚线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钛金</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144</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河沙</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细沙</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水泥</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国大</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5kg</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c180</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吨</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800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轻钢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60*40*2.5mm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斤</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角钢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230*80*2.5mm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斤</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387</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槽钢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C126*53*5.5mm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斤</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480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槽钢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C100*48*5.3mm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斤</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480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槽钢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C10*48*5.3mm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斤</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印花钢板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2.5m²</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厚度5mm</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张</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钢板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2.5m²</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厚度2mm</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张</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矩管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4*6mm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金属氟碳漆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20L</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桶</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玻璃彩钢瓦</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5.5*1.6*0.12mm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花盆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1200*300m*600mm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不锈钢</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镀锌角钢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L40*4</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斤</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357</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石材</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30mm厚金线米黄</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天然大理石</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风景石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块</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总台吧台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长8.165m宽0.7m高1.1m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18mm厚实木多层板，面层为15mm厚大理石贴面，底部不锈钢踢脚线及灯带</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8.3</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定制家具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咖啡厅吧台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长5.8m，宽0.7m，高0.85m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定制吧台，柜体为18mm厚实木多层板，面层为15mm厚大理石贴面，底部PVC踢脚线及灯带</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5.8</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操作台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长1.5m、宽0.6m，高0.85m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柜体为16mm厚颗粒板，面层为14mm厚大理石贴面，底部PVC踢脚线及灯带</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含不锈钢水槽及龙头</w:t>
            </w: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木棚</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宽1.7m、深1.53m、高2.73m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栗色菠萝格防腐木</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迎客松</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高度1.6m，展开面1.8m</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棵</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绿化</w:t>
            </w: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sectPr>
          <w:footerReference r:id="rId5" w:type="default"/>
          <w:pgSz w:w="11906" w:h="16838"/>
          <w:pgMar w:top="1440" w:right="1800" w:bottom="1440" w:left="1800" w:header="851" w:footer="992" w:gutter="0"/>
          <w:cols w:space="425" w:num="1"/>
          <w:docGrid w:type="lines" w:linePitch="312" w:charSpace="0"/>
        </w:sectPr>
      </w:pPr>
    </w:p>
    <w:tbl>
      <w:tblPr>
        <w:tblStyle w:val="4"/>
        <w:tblW w:w="132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8"/>
        <w:gridCol w:w="1874"/>
        <w:gridCol w:w="3736"/>
        <w:gridCol w:w="4255"/>
        <w:gridCol w:w="1120"/>
        <w:gridCol w:w="12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13254" w:type="dxa"/>
            <w:gridSpan w:val="6"/>
            <w:tcBorders>
              <w:top w:val="nil"/>
              <w:left w:val="nil"/>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spacing w:val="0"/>
                <w:w w:val="100"/>
                <w:kern w:val="0"/>
                <w:position w:val="0"/>
                <w:sz w:val="36"/>
                <w:szCs w:val="36"/>
                <w:u w:val="none"/>
                <w:shd w:val="clear" w:color="auto" w:fill="auto"/>
                <w:lang w:val="en-US" w:eastAsia="zh-CN" w:bidi="ar"/>
              </w:rPr>
              <w:t>青莲欧洲院子暖通工程维修明细表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序号</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项目名称</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 xml:space="preserve"> 技改项目及内容</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材质、规格、技术参数</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数量</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325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32"/>
                <w:szCs w:val="32"/>
                <w:u w:val="none"/>
              </w:rPr>
            </w:pPr>
            <w:r>
              <w:rPr>
                <w:rFonts w:hint="eastAsia" w:ascii="黑体" w:hAnsi="宋体" w:eastAsia="黑体" w:cs="黑体"/>
                <w:i w:val="0"/>
                <w:iCs w:val="0"/>
                <w:color w:val="000000"/>
                <w:spacing w:val="0"/>
                <w:w w:val="100"/>
                <w:kern w:val="0"/>
                <w:position w:val="0"/>
                <w:sz w:val="32"/>
                <w:szCs w:val="32"/>
                <w:u w:val="none"/>
                <w:shd w:val="clear" w:color="auto" w:fill="auto"/>
                <w:lang w:val="en-US" w:eastAsia="zh-CN" w:bidi="ar"/>
              </w:rPr>
              <w:t>一、整个系统改造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水路系统的技术改造</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水路系统的全面技术整改方案（水路交合）</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新增五合一智能控制系统</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地暖、泡池、热水、锅炉、水箱智能控制系统</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更换损坏的燃气㶽炉</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40KW燃气㶽炉（ZSTQ40）</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更换锅炉与水箱循环静音泵</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新界PUM200L1，流量5方，扬程15米，功率0.25kw</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更换给、排水电子阀</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电子阀2W-40，电压220V、功率40W，管径40</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325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spacing w:val="0"/>
                <w:w w:val="100"/>
                <w:kern w:val="0"/>
                <w:position w:val="0"/>
                <w:sz w:val="32"/>
                <w:szCs w:val="32"/>
                <w:u w:val="none"/>
                <w:shd w:val="clear" w:color="auto" w:fill="auto"/>
                <w:lang w:val="en-US" w:eastAsia="zh-CN" w:bidi="ar"/>
              </w:rPr>
              <w:t>二、生活热水和喷泉部分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亚洲院子4</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更换漏水的保温水箱</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定制1T保温热水箱</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技改热水与泡池热水分离</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生活热水与泡池热水的分离，新增承压换热器装置</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生活热水水箱、管路系统清洗</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热水水箱、管路、水阀、混水阀，清理、清洗处理</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欧洲院子456789</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生活热水水箱、管路系统清洗</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热水水箱、管路、水阀、混水阀，清理、清洗处理</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欧洲院子4689</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博士锅炉维修</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温度传感器，水流开关，文丘里管，清理锅炉积碳</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欧洲院子12</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大厅前广场喷泉的维护和水泵更换</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新界潜水泵 QDX8-18-0.75，流量8方，扬程18米，功率0.75kw，供电220V　</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欧洲院子3</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大厅后大喷泉的维护调试</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管路、阀门清理、系统调试</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亚洲院子4、欧洲院子456789</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壁挂锅炉的维护　</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锅炉系统的维护、清洗、保养（燃烧室、换热器）</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欧洲院子4689</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博士锅炉更换水压力表</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更换损坏的压力表</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325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spacing w:val="0"/>
                <w:w w:val="100"/>
                <w:kern w:val="0"/>
                <w:position w:val="0"/>
                <w:sz w:val="32"/>
                <w:szCs w:val="32"/>
                <w:u w:val="none"/>
                <w:shd w:val="clear" w:color="auto" w:fill="auto"/>
                <w:lang w:val="en-US" w:eastAsia="zh-CN" w:bidi="ar"/>
              </w:rPr>
              <w:t>三、泡池部分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移出原地下泡池设备（管路、线路）</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地下井的设备、管路、线路和控制</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更换泡池专用热水循环泵</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KBH-KHS 2000，流量26方，扬程28米，功率2.2kw，供电380V　</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更换泡池冲浪风泵</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HG-1100　风量180方，功率1.1kw，风压17.6kPa，真空度-16kPa，使用风压〈14kPa　</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新增泡池钢软管</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50型钢软管12米</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更换砂缸填充石英砂</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石英砂150公斤</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室外泡池排水改造</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增设室外泡池排水管路</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室外泡池底部水钻开孔</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泡池排水系统改进</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室外泡池人工挖渠，回填</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泡池排水系统改进</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室外泡池管路、板换、水箱的清洗</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管路疏通，换热器清洗，热水箱清洗</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325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spacing w:val="0"/>
                <w:w w:val="100"/>
                <w:kern w:val="0"/>
                <w:position w:val="0"/>
                <w:sz w:val="32"/>
                <w:szCs w:val="32"/>
                <w:u w:val="none"/>
                <w:shd w:val="clear" w:color="auto" w:fill="auto"/>
                <w:lang w:val="en-US" w:eastAsia="zh-CN" w:bidi="ar"/>
              </w:rPr>
              <w:t>四、中央空调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美的小多联空调内机清洗、消毒、杀菌处理</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蒸气消毒杀菌和空调翅片专用清理</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欧洲院子456789</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格力大多联空调内机清洗、消毒、杀菌处理</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蒸气消毒杀菌和空调翅片专用清理</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44</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亚洲院子24</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美的小多联联中央空调的维修</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更换的空调电脑板、控制系统、修复翅片</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欧洲院子5789</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格力大多联中央空调的维修</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维修中央空调模块板、主板、电源板、电机</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空调外机的维护清洗</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空调外机的维护清理</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欧洲院子456789</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空调外机的维护清洗</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空调外机的维护清理</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美的小多联加注冷媒</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加注R410高性能冷媒</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欧洲院子456789</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格力大多联加注冷媒</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加注R410高性能冷媒</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欧洲院子237</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更换空调和接怍器</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更换面板、接收器</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325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spacing w:val="0"/>
                <w:w w:val="100"/>
                <w:kern w:val="0"/>
                <w:position w:val="0"/>
                <w:sz w:val="32"/>
                <w:szCs w:val="32"/>
                <w:u w:val="none"/>
                <w:shd w:val="clear" w:color="auto" w:fill="auto"/>
                <w:lang w:val="en-US" w:eastAsia="zh-CN" w:bidi="ar"/>
              </w:rPr>
              <w:t>五、地暖部分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亚洲院子地暖恢复与维修调试</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地暖系统的恢复、修复、分集水器、执行器、面板维护及系统调试</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新增地暖循环泵</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韩进地暖循环泵　流量2.4方，扬程6米，功率100w</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地暖管路系统专业清洗</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高压脉冲清洗和注入保护液</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亚洲院子35</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更换地暖执行器</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更换执行器</w:t>
            </w: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325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spacing w:val="0"/>
                <w:w w:val="100"/>
                <w:kern w:val="0"/>
                <w:position w:val="0"/>
                <w:sz w:val="32"/>
                <w:szCs w:val="32"/>
                <w:u w:val="none"/>
                <w:shd w:val="clear" w:color="auto" w:fill="auto"/>
                <w:lang w:val="en-US" w:eastAsia="zh-CN" w:bidi="ar"/>
              </w:rPr>
              <w:t>六、发电机维修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备用发电机维修</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三、备注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default"/>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pPr>
        <w:pStyle w:val="2"/>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default"/>
          <w:u w:val="none"/>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2、项目实施周期：</w:t>
      </w:r>
      <w:r>
        <w:rPr>
          <w:rFonts w:hint="eastAsia" w:ascii="仿宋" w:hAnsi="仿宋" w:eastAsia="仿宋" w:cs="仿宋"/>
          <w:b w:val="0"/>
          <w:bCs w:val="0"/>
          <w:color w:val="auto"/>
          <w:spacing w:val="0"/>
          <w:w w:val="100"/>
          <w:position w:val="0"/>
          <w:sz w:val="32"/>
          <w:szCs w:val="32"/>
          <w:u w:val="single" w:color="auto"/>
          <w:shd w:val="clear" w:color="auto" w:fill="auto"/>
          <w:lang w:val="en-US" w:eastAsia="zh-CN" w:bidi="en-US"/>
        </w:rPr>
        <w:t>15</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天内。</w:t>
      </w: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sectPr>
          <w:pgSz w:w="16838" w:h="11906" w:orient="landscape"/>
          <w:pgMar w:top="1803" w:right="1440" w:bottom="1803" w:left="1440" w:header="851" w:footer="992" w:gutter="0"/>
          <w:cols w:space="0" w:num="1"/>
          <w:rtlGutter w:val="0"/>
          <w:docGrid w:type="lines" w:linePitch="332" w:charSpace="0"/>
        </w:sectPr>
      </w:pPr>
    </w:p>
    <w:p>
      <w:pPr>
        <w:pStyle w:val="2"/>
        <w:rPr>
          <w:rFonts w:hint="eastAsia"/>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联合体投标声明</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联合体投标声明 ××公司、××公司自愿组成：××公司、××公司联合体（以下简 称“联合体”或“我们”），共同参加××项目（招标编号：××）投 标（以下简称“本项目”）。现就联合体投标事宜声明如下：</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公司、××公司特此正式授权××公司为联合体牵头人，合法代表我们 签署××项目（招标编号：××）投标文件、进行谈判、承担责任、接 受指示和处理、负责合同实施阶段的主办、组织和协调工作以及处理 与本项目有关的所有其他必要事宜。对于牵头人所为行为产生的一切 法律后果，由联合体对外承担连带责任。 </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sz w:val="32"/>
          <w:szCs w:val="32"/>
          <w:lang w:val="en-US" w:eastAsia="zh-CN"/>
        </w:rPr>
        <w:t xml:space="preserve">本 联 合 体 特 此 正 式 授 权 牵 头 人 使 用 联 合 体 成 员 相 关 资 质 文 件 （如：信息系统集成及服务资质）和商务业绩进行合法投标，投标有 效范围为：××项目（招标编号：××）招标项目。 </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sz w:val="32"/>
          <w:szCs w:val="32"/>
          <w:lang w:val="en-US" w:eastAsia="zh-CN"/>
        </w:rPr>
        <w:t>本投标文件及中标后签署的合同、协议书对联合体的每一个成 员均具有法律约束力。</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sz w:val="32"/>
          <w:szCs w:val="32"/>
          <w:lang w:val="en-US" w:eastAsia="zh-CN"/>
        </w:rPr>
        <w:t>联合体将严格按照招标文件的各项要求，递交投标文件，履行 合同，并对外承担连带责任。</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sz w:val="32"/>
          <w:szCs w:val="32"/>
          <w:lang w:val="en-US" w:eastAsia="zh-CN"/>
        </w:rPr>
        <w:t xml:space="preserve">联合体实施合同的责任分工如下： </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××公司：作为本项目总体牵头单位，负责××项目（招标编 号：××）项目投标、合同签署、合同承接、全部合同条款实施以及其 他与本项目相关的事项； </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left="0" w:leftChars="0"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××公司：作为项目主要联合体成员，负责配合牵头单位进 行××项目（招标编号：××）项目投标工作，中标后协助牵头单位实 施履行合同以及其他牵头单位需要协助配合的事项。 </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left="0" w:leftChars="0"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联合体中标后，本联合体声明是合同的附件，对联合体 各成员单位均具有同等的合同约束力。 </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left="0" w:leftChars="0"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本声明自签署之日起生效，本项目中标后和本项目招标方签署 的合同履行完毕后自动失效。 </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left="0" w:leftChars="0" w:right="0" w:rightChars="0" w:firstLine="640" w:firstLineChars="20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sz w:val="32"/>
          <w:szCs w:val="32"/>
          <w:lang w:val="en-US" w:eastAsia="zh-CN"/>
        </w:rPr>
        <w:t xml:space="preserve">本声明一式××份，联合体成员和招标人各执××份，每份具有同等的法律效力。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（本页无正文，为投标声明的签署页） </w:t>
      </w:r>
    </w:p>
    <w:p>
      <w:pPr>
        <w:pStyle w:val="2"/>
        <w:rPr>
          <w:rFonts w:hint="eastAsia"/>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牵头人名称：××公司（公章） 法定代表人或其委托代理人：（签字或盖章）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联合体成员名称：××公司（公章） 法定代表人或其委托代理人：（签字或盖章）</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××年××月××日</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pStyle w:val="2"/>
        <w:rPr>
          <w:rFonts w:hint="eastAsia"/>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建材、成品家具等物资以及暖通维修服务</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采购项目比选竞标函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我方全面研究了“建材、成品家具等物资以及暖通维修服务采购项目比选竞标函”，决定参加贵单位组织的本项目比选，并自觉遵守采购相关规定，遵守采购规则，维护正常的采购秩序。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附件1：项目报价清单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附件2：合同主要条款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pPr>
        <w:pStyle w:val="2"/>
        <w:shd w:val="clear" w:color="auto" w:fil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附件1：项目报价清单</w:t>
      </w:r>
    </w:p>
    <w:p>
      <w:pPr>
        <w:jc w:val="center"/>
        <w:rPr>
          <w:rFonts w:hint="default"/>
          <w:lang w:val="en-US" w:eastAsia="zh-CN"/>
        </w:rPr>
      </w:pPr>
      <w:r>
        <w:rPr>
          <w:rFonts w:hint="eastAsia"/>
          <w:lang w:val="en-US" w:eastAsia="zh-CN"/>
        </w:rPr>
        <w:t>青莲欧洲院子物资报价单</w:t>
      </w:r>
    </w:p>
    <w:tbl>
      <w:tblPr>
        <w:tblStyle w:val="4"/>
        <w:tblW w:w="1109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4"/>
        <w:gridCol w:w="1545"/>
        <w:gridCol w:w="840"/>
        <w:gridCol w:w="2146"/>
        <w:gridCol w:w="1370"/>
        <w:gridCol w:w="719"/>
        <w:gridCol w:w="845"/>
        <w:gridCol w:w="671"/>
        <w:gridCol w:w="908"/>
        <w:gridCol w:w="740"/>
        <w:gridCol w:w="659"/>
        <w:gridCol w:w="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6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序号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品牌</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规格型号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材质</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单位</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单价（元）</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数量</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合计（元）</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备注</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蹲便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九牧</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625*455*215mm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陶瓷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洁具、五金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水箱</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九牧</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5L</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含存水弯</w:t>
            </w: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感应小便池</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科勒</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350*350*890mm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陶瓷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洗手台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安华</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1020*645*300mm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陶瓷、大理石</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一体盆</w:t>
            </w: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五金件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日丰</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304不锈钢</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套</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龙头、阀门、软管</w:t>
            </w: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地漏</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日丰</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100*100*50mm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隔断</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2000*800*18mm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实木多层</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建材、物料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壁插</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公牛</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86*86*8.5mm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开关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公牛</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86*86*8.5mm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筒灯</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公牛</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95*33.5*70mm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26</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射灯</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公牛</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85*70*75mm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45</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电线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名鸽</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BV2.5/100米</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铜芯</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大自然</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M0921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实木免漆</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扇</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门套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大自然</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实木免漆</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套</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加气块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300*10*600mm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1150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镀锌矩管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80*40*2.5mm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夹心瓦</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1200*600*120mm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保温岩棉夹芯板</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73.6</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石膏板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兔宝宝</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2400*1200*9.5mm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73.6</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龙骨架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欧普</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300*300*6mm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轻钢</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73.6</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瓷砖</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东鹏</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400*400mm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通体釉面</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张</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18.25</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瓷砖</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东鹏</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300*600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通体釉面</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张</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46</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瓷砖</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东鹏</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800*800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通体釉面</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张</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55.35</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多乐士</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15L</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桶</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腻子粉</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美丽居</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5kg</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袋</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踢脚线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钛金</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144</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河沙</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细沙</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方</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水泥</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国大</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5kg</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c180</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吨</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800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轻钢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60*40*2.5mm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斤</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角钢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230*80*2.5mm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斤</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387</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槽钢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C126*53*5.5mm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斤</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480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槽钢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C100*48*5.3mm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斤</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480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槽钢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C10*48*5.3mm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斤</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印花钢板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2.5m²</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厚度5mm</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张</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钢板</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2.5m²</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厚度2mm</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张</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矩管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4*6mm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金属氟碳漆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20L</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桶</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玻璃彩钢瓦</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5.5*1.6*0.12mm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花盆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1200*300m*600mm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不锈钢</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镀锌角钢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L40*4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斤</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357</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石材</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30mm厚金线米黄</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天然大理石</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风景石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块</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dxa"/>
          <w:trHeight w:val="10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总台吧台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长8.165m宽0.7m高1.1m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18mm厚实木多层板，面层为15mm厚大理石贴面，底部不锈钢踢脚线及灯带</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8.3</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定制家具</w:t>
            </w:r>
          </w:p>
          <w:p>
            <w:pPr>
              <w:ind w:left="0" w:leftChars="0" w:right="0" w:rightChars="0" w:firstLine="0" w:firstLineChars="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咖啡厅吧台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长5.8m，宽0.7m，高0.85m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定制吧台，柜体为18mm厚实木多层板，面层为15mm厚大理石贴面，底部PVC踢脚线及灯带</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5.8</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63" w:type="dxa"/>
            <w:gridSpan w:val="2"/>
            <w:vMerge w:val="restart"/>
            <w:tcBorders>
              <w:left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操作台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长1.5m、宽0.6m，高0.85m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柜体为16mm厚颗粒板，面层为14mm厚大理石贴面，底部PVC踢脚线及灯带</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含不锈钢水槽及龙头</w:t>
            </w:r>
          </w:p>
        </w:tc>
        <w:tc>
          <w:tcPr>
            <w:tcW w:w="663" w:type="dxa"/>
            <w:gridSpan w:val="2"/>
            <w:vMerge w:val="continue"/>
            <w:tcBorders>
              <w:left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木棚</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宽1.7m、深1.53m、高2.73m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栗色菠萝格防腐木</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63" w:type="dxa"/>
            <w:gridSpan w:val="2"/>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迎客松</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高度1.6m，展开面1.8m</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棵</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绿化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87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spacing w:val="0"/>
                <w:w w:val="100"/>
                <w:kern w:val="0"/>
                <w:position w:val="0"/>
                <w:sz w:val="28"/>
                <w:szCs w:val="28"/>
                <w:u w:val="none"/>
                <w:shd w:val="clear" w:color="auto" w:fill="auto"/>
                <w:lang w:val="en-US" w:eastAsia="zh-CN" w:bidi="ar"/>
              </w:rPr>
              <w:t>总计：</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14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jc w:val="center"/>
        <w:rPr>
          <w:rFonts w:hint="default"/>
          <w:lang w:val="en-US" w:eastAsia="zh-CN"/>
        </w:rPr>
        <w:sectPr>
          <w:pgSz w:w="11906" w:h="16838"/>
          <w:pgMar w:top="1440" w:right="1803" w:bottom="1440" w:left="1803" w:header="851" w:footer="992" w:gutter="0"/>
          <w:cols w:space="0" w:num="1"/>
          <w:rtlGutter w:val="0"/>
          <w:docGrid w:type="lines" w:linePitch="332" w:charSpace="0"/>
        </w:sectPr>
      </w:pPr>
    </w:p>
    <w:tbl>
      <w:tblPr>
        <w:tblStyle w:val="4"/>
        <w:tblW w:w="127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8"/>
        <w:gridCol w:w="1777"/>
        <w:gridCol w:w="3736"/>
        <w:gridCol w:w="4013"/>
        <w:gridCol w:w="598"/>
        <w:gridCol w:w="656"/>
        <w:gridCol w:w="884"/>
        <w:gridCol w:w="5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10728" w:type="dxa"/>
            <w:gridSpan w:val="8"/>
            <w:tcBorders>
              <w:top w:val="nil"/>
              <w:left w:val="nil"/>
              <w:bottom w:val="single" w:color="auto" w:sz="4" w:space="0"/>
              <w:right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36"/>
                <w:szCs w:val="36"/>
                <w:u w:val="none"/>
                <w:lang w:val="en-US"/>
              </w:rPr>
            </w:pPr>
            <w:r>
              <w:rPr>
                <w:rFonts w:hint="eastAsia" w:ascii="宋体" w:hAnsi="宋体" w:eastAsia="宋体" w:cs="宋体"/>
                <w:b/>
                <w:bCs/>
                <w:i w:val="0"/>
                <w:iCs w:val="0"/>
                <w:color w:val="000000"/>
                <w:spacing w:val="0"/>
                <w:w w:val="100"/>
                <w:kern w:val="0"/>
                <w:position w:val="0"/>
                <w:sz w:val="36"/>
                <w:szCs w:val="36"/>
                <w:u w:val="none"/>
                <w:shd w:val="clear" w:color="auto" w:fill="auto"/>
                <w:lang w:val="en-US" w:eastAsia="zh-CN" w:bidi="ar"/>
              </w:rPr>
              <w:t>青莲欧洲院子暖通工程维修报价单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序号</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项目名称</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 xml:space="preserve"> 技改项目及内容</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材质、规格、技术参数</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单价</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数量</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合计（元）</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728"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32"/>
                <w:szCs w:val="32"/>
                <w:u w:val="none"/>
              </w:rPr>
            </w:pPr>
            <w:r>
              <w:rPr>
                <w:rFonts w:hint="eastAsia" w:ascii="黑体" w:hAnsi="宋体" w:eastAsia="黑体" w:cs="黑体"/>
                <w:i w:val="0"/>
                <w:iCs w:val="0"/>
                <w:color w:val="000000"/>
                <w:spacing w:val="0"/>
                <w:w w:val="100"/>
                <w:kern w:val="0"/>
                <w:position w:val="0"/>
                <w:sz w:val="32"/>
                <w:szCs w:val="32"/>
                <w:u w:val="none"/>
                <w:shd w:val="clear" w:color="auto" w:fill="auto"/>
                <w:lang w:val="en-US" w:eastAsia="zh-CN" w:bidi="ar"/>
              </w:rPr>
              <w:t>一、整个系统改造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水路系统的技术改造</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水路系统的全面技术整改方案（水路交合）</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新增五合一智能控制系统</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地暖、泡池、热水、锅炉、水箱智能控制系统</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更换损坏的燃气㶽炉</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40KW燃气㶽炉（ZSTQ40）</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更换锅炉与水箱循环静音泵</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新界PUM200L1，流量5方，扬程15米，功率0.25kw</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更换给、排水电子阀</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电子阀2W-40，电压220V、功率40W，管径40</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728"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spacing w:val="0"/>
                <w:w w:val="100"/>
                <w:kern w:val="0"/>
                <w:position w:val="0"/>
                <w:sz w:val="32"/>
                <w:szCs w:val="32"/>
                <w:u w:val="none"/>
                <w:shd w:val="clear" w:color="auto" w:fill="auto"/>
                <w:lang w:val="en-US" w:eastAsia="zh-CN" w:bidi="ar"/>
              </w:rPr>
              <w:t>二、生活热水和喷泉部分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亚洲院子4</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更换漏水的保温水箱</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定制1T保温热水箱</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技改热水与泡池热水分离</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生活热水与泡池热水的分离，新增承压换热器装置</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生活热水水箱、管路系统清洗</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热水水箱、管路、水阀、混水阀，清理、清洗处理</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欧洲院子456789</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生活热水水箱、管路系统清洗</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热水水箱、管路、水阀、混水阀，清理、清洗处理</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欧洲院子4689</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博士锅炉维修</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温度传感器，水流开关，文丘里管，清理锅炉积碳</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欧洲院子12</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大厅前广场喷泉的维护和水泵更换</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新界潜水泵 QDX8-18-0.75，流量8方，扬程18米，功率0.75kw，供电220V　</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欧洲院子3</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大厅后大喷泉的维护调试</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管路、阀门清理、系统调试</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亚洲院子4、欧洲院子456789</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壁挂锅炉的维护　</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锅炉系统的维护、清洗、保养（燃烧室、换热器）</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欧洲院子4689</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博士锅炉更换水压力表</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更换损坏的压力表</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728"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spacing w:val="0"/>
                <w:w w:val="100"/>
                <w:kern w:val="0"/>
                <w:position w:val="0"/>
                <w:sz w:val="32"/>
                <w:szCs w:val="32"/>
                <w:u w:val="none"/>
                <w:shd w:val="clear" w:color="auto" w:fill="auto"/>
                <w:lang w:val="en-US" w:eastAsia="zh-CN" w:bidi="ar"/>
              </w:rPr>
              <w:t>三、泡池部分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移出原地下泡池设备（管路、线路）</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地下井的设备、管路、线路和控制</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更换泡池专用热水循环泵</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KBH-KHS 2000，流量26方，扬程28米，功率2.2kw，供电380V　</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更换泡池冲浪风泵</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HG-1100　风量180方，功率1.1kw，风压17.6kPa，真空度-16kPa，使用风压〈14kPa　</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新增泡池钢软管</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50型钢软管12米</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更换砂缸填充石英砂</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石英砂150公斤</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室外泡池排水改造</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增设室外泡池排水管路</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室外泡池底部水钻开孔</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泡池排水系统改进</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室外泡池人工挖渠，回填</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泡池排水系统改进</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室外泡池管路、板换、水箱的清洗</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管路疏通，换热器清洗，热水箱清洗</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728"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spacing w:val="0"/>
                <w:w w:val="100"/>
                <w:kern w:val="0"/>
                <w:position w:val="0"/>
                <w:sz w:val="32"/>
                <w:szCs w:val="32"/>
                <w:u w:val="none"/>
                <w:shd w:val="clear" w:color="auto" w:fill="auto"/>
                <w:lang w:val="en-US" w:eastAsia="zh-CN" w:bidi="ar"/>
              </w:rPr>
              <w:t>四、中央空调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美的小多联空调内机清洗、消毒、杀菌处理</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蒸气消毒杀菌和空调翅片专用清理</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欧洲院子456789</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格力大多联空调内机清洗、消毒、杀菌处理</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蒸气消毒杀菌和空调翅片专用清理</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44</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亚洲院子24</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美的小多联联中央空调的维修</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更换的空调电脑板、控制系统、修复翅片</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欧洲院子5789</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格力大多联中央空调的维修</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维修中央空调模块板、主板、电源板、电机</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空调外机的维护清洗</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空调外机的维护清理</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欧洲院子456789</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空调外机的维护清洗</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空调外机的维护清理</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美的小多联加注冷媒</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加注R410高性能冷媒</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欧洲院子456789</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格力大多联加注冷媒</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加注R410高性能冷媒</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欧洲院子237</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更换空调和接怍器</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更换面板、接收器</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728"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spacing w:val="0"/>
                <w:w w:val="100"/>
                <w:kern w:val="0"/>
                <w:position w:val="0"/>
                <w:sz w:val="32"/>
                <w:szCs w:val="32"/>
                <w:u w:val="none"/>
                <w:shd w:val="clear" w:color="auto" w:fill="auto"/>
                <w:lang w:val="en-US" w:eastAsia="zh-CN" w:bidi="ar"/>
              </w:rPr>
              <w:t>五、地暖部分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亚洲院子地暖恢复与维修调试</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地暖系统的恢复、修复、分集水器、执行器、面板维护及系统调试</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新增地暖循环泵</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韩进地暖循环泵　流量2.4方，扬程6米，功率100w</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亚洲院子23456</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地暖管路系统专业清洗</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高压脉冲清洗和注入保护液</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亚洲院子35</w:t>
            </w:r>
          </w:p>
        </w:tc>
        <w:tc>
          <w:tcPr>
            <w:tcW w:w="2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更换地暖执行器</w:t>
            </w: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更换执行器</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467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合计</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bl>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sectPr>
          <w:pgSz w:w="16838" w:h="11906" w:orient="landscape"/>
          <w:pgMar w:top="1803" w:right="1440" w:bottom="1803" w:left="1440"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附件2：合同主要条款</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建材、成品家具等物资以及暖通维修服务</w:t>
      </w:r>
    </w:p>
    <w:p>
      <w:pPr>
        <w:keepNext w:val="0"/>
        <w:keepLines w:val="0"/>
        <w:pageBreakBefore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采购合同</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甲方（采购方）:</w:t>
      </w:r>
    </w:p>
    <w:p>
      <w:pPr>
        <w:keepNext w:val="0"/>
        <w:keepLines w:val="0"/>
        <w:pageBreakBefore w:val="0"/>
        <w:widowControl/>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统一社会信用代码：</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联系方式：</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乙方（供货方）:</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统一社会信用代码：</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联系方式：</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依据《中华人民共和国民法典》及相关法律、法规，遵照平等、自愿、公平和诚实信用原则，经甲、乙双方友好协商，订立合同如下：</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基本情况</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本合同单价为固定单价，已包含</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人工费、材料费、运输费、装卸费、税金、调试费、安装费</w:t>
      </w:r>
      <w:r>
        <w:rPr>
          <w:rFonts w:hint="eastAsia" w:ascii="仿宋_GB2312" w:hAnsi="仿宋_GB2312" w:eastAsia="仿宋_GB2312" w:cs="仿宋_GB2312"/>
          <w:sz w:val="32"/>
          <w:szCs w:val="32"/>
        </w:rPr>
        <w:t>等所有费用</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数量如有变动，由</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方提前通知</w:t>
      </w: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在维持本合同单价不变的基础上，按</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rPr>
        <w:t>求将增加的货物运送至指定地点，最终数量以</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方验收并签字确认的产品</w:t>
      </w:r>
      <w:r>
        <w:rPr>
          <w:rFonts w:hint="eastAsia" w:ascii="仿宋_GB2312" w:hAnsi="仿宋_GB2312" w:eastAsia="仿宋_GB2312" w:cs="仿宋_GB2312"/>
          <w:sz w:val="32"/>
          <w:szCs w:val="32"/>
          <w:lang w:val="en-US" w:eastAsia="zh-CN"/>
        </w:rPr>
        <w:t>订货</w:t>
      </w:r>
      <w:r>
        <w:rPr>
          <w:rFonts w:hint="eastAsia" w:ascii="仿宋_GB2312" w:hAnsi="仿宋_GB2312" w:eastAsia="仿宋_GB2312" w:cs="仿宋_GB2312"/>
          <w:sz w:val="32"/>
          <w:szCs w:val="32"/>
        </w:rPr>
        <w:t>单上所列数量</w:t>
      </w:r>
      <w:r>
        <w:rPr>
          <w:rFonts w:hint="eastAsia" w:ascii="仿宋_GB2312" w:hAnsi="仿宋_GB2312" w:eastAsia="仿宋_GB2312" w:cs="仿宋_GB2312"/>
          <w:sz w:val="32"/>
          <w:szCs w:val="32"/>
          <w:lang w:val="en-US" w:eastAsia="zh-CN"/>
        </w:rPr>
        <w:t>和金额</w:t>
      </w:r>
      <w:r>
        <w:rPr>
          <w:rFonts w:hint="eastAsia" w:ascii="仿宋_GB2312" w:hAnsi="仿宋_GB2312" w:eastAsia="仿宋_GB2312" w:cs="仿宋_GB2312"/>
          <w:sz w:val="32"/>
          <w:szCs w:val="32"/>
        </w:rPr>
        <w:t>为准。</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二、采购明细</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u w:val="single"/>
          <w:lang w:val="en-US" w:eastAsia="zh-CN"/>
        </w:rPr>
        <w:t>建材、成品家具等物资以及暖通维修服务</w:t>
      </w:r>
      <w:r>
        <w:rPr>
          <w:rFonts w:hint="eastAsia" w:ascii="仿宋_GB2312" w:hAnsi="仿宋_GB2312" w:eastAsia="仿宋_GB2312" w:cs="仿宋_GB2312"/>
          <w:sz w:val="32"/>
          <w:szCs w:val="32"/>
          <w:lang w:val="en-US" w:eastAsia="zh-CN"/>
        </w:rPr>
        <w:t>，采购明细表详见（附件）</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三、合同总额及</w:t>
      </w:r>
      <w:r>
        <w:rPr>
          <w:rFonts w:hint="eastAsia" w:ascii="仿宋_GB2312" w:hAnsi="仿宋_GB2312" w:eastAsia="仿宋_GB2312" w:cs="仿宋_GB2312"/>
          <w:sz w:val="32"/>
          <w:szCs w:val="32"/>
          <w:highlight w:val="none"/>
        </w:rPr>
        <w:t>付款方式</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1、合同总额为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lang w:val="en-US" w:eastAsia="zh-CN"/>
        </w:rPr>
        <w:t>元，大写：</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lang w:val="en-US" w:eastAsia="zh-CN"/>
        </w:rPr>
        <w:t>元整。</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2、支付方式：</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lang w:val="en-US" w:eastAsia="zh-CN"/>
        </w:rPr>
        <w:t>（1）本合同签订生效后5个工作日内，甲方向乙方支付合同总额的40%，即¥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元（大写：        ）。</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w:t>
      </w:r>
      <w:r>
        <w:rPr>
          <w:rFonts w:hint="eastAsia" w:ascii="仿宋_GB2312" w:hAnsi="仿宋_GB2312" w:eastAsia="仿宋_GB2312" w:cs="仿宋_GB2312"/>
          <w:sz w:val="32"/>
          <w:szCs w:val="32"/>
          <w:highlight w:val="none"/>
          <w:lang w:val="en-US" w:eastAsia="zh-CN"/>
        </w:rPr>
        <w:t>甲方在收到在乙方订购的全部物资且安装后验收合格的，同时暖通维修服务通过甲方验收合格并交付使用后，15个工作日内向乙方支付合同总额的57%，即¥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元（大写：        ）。</w:t>
      </w:r>
    </w:p>
    <w:p>
      <w:pPr>
        <w:pStyle w:val="2"/>
        <w:ind w:firstLine="640" w:firstLineChars="200"/>
        <w:rPr>
          <w:rFonts w:hint="default"/>
          <w:lang w:val="en-US" w:eastAsia="zh-CN"/>
        </w:rPr>
      </w:pPr>
      <w:r>
        <w:rPr>
          <w:rFonts w:hint="eastAsia" w:ascii="仿宋_GB2312" w:hAnsi="仿宋_GB2312" w:eastAsia="仿宋_GB2312" w:cs="仿宋_GB2312"/>
          <w:sz w:val="32"/>
          <w:szCs w:val="32"/>
          <w:highlight w:val="none"/>
          <w:u w:val="none"/>
          <w:lang w:val="en-US" w:eastAsia="zh-CN"/>
        </w:rPr>
        <w:t>（3）剩余合同总额的3%作为质保金，</w:t>
      </w:r>
      <w:r>
        <w:rPr>
          <w:rFonts w:hint="eastAsia" w:ascii="仿宋_GB2312" w:hAnsi="仿宋_GB2312" w:eastAsia="仿宋_GB2312" w:cs="仿宋_GB2312"/>
          <w:sz w:val="32"/>
          <w:szCs w:val="32"/>
          <w:highlight w:val="none"/>
          <w:lang w:val="en-US" w:eastAsia="zh-CN"/>
        </w:rPr>
        <w:t>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元（大写：        ），待质保期4个月到期后，5个工作日内向乙方支付。</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2、乙方账户信息：</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公司名称：</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 户 行：</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账    号：</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四、交货时间</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交货时间不迟于</w:t>
      </w:r>
      <w:r>
        <w:rPr>
          <w:rFonts w:hint="eastAsia" w:ascii="仿宋_GB2312" w:hAnsi="仿宋_GB2312" w:eastAsia="仿宋_GB2312" w:cs="仿宋_GB2312"/>
          <w:sz w:val="32"/>
          <w:szCs w:val="32"/>
          <w:u w:val="single"/>
          <w:lang w:val="en-US" w:eastAsia="zh-CN"/>
        </w:rPr>
        <w:t>2023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五、交货地点：</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甲方指定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江油市青莲欧洲院子）</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六、双方权益</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1、甲方权益</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甲方有权要求货品质量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包含货品本身质量、安装质量等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及维修服务质量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质量应符合国家或行业标准</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甲方有</w:t>
      </w:r>
      <w:r>
        <w:rPr>
          <w:rFonts w:hint="eastAsia" w:ascii="仿宋_GB2312" w:hAnsi="仿宋_GB2312" w:eastAsia="仿宋_GB2312" w:cs="仿宋_GB2312"/>
          <w:sz w:val="32"/>
          <w:szCs w:val="32"/>
          <w:lang w:val="en-US" w:eastAsia="zh-CN"/>
        </w:rPr>
        <w:t>权</w:t>
      </w:r>
      <w:r>
        <w:rPr>
          <w:rFonts w:hint="eastAsia" w:ascii="仿宋_GB2312" w:hAnsi="仿宋_GB2312" w:eastAsia="仿宋_GB2312" w:cs="仿宋_GB2312"/>
          <w:sz w:val="32"/>
          <w:szCs w:val="32"/>
        </w:rPr>
        <w:t>确定签收货品的人员并提前通知乙方。</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甲方有义务</w:t>
      </w:r>
      <w:r>
        <w:rPr>
          <w:rFonts w:hint="eastAsia" w:ascii="仿宋_GB2312" w:hAnsi="仿宋_GB2312" w:eastAsia="仿宋_GB2312" w:cs="仿宋_GB2312"/>
          <w:sz w:val="32"/>
          <w:szCs w:val="32"/>
          <w:lang w:val="en-US" w:eastAsia="zh-CN"/>
        </w:rPr>
        <w:t>按约定支付货款</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2、乙方权益</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乙方有义务保证货品质量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包含货品本身质量、安装质量等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及维修服务质量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质量应符合国家或行业标准</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乙方有义务</w:t>
      </w:r>
      <w:r>
        <w:rPr>
          <w:rFonts w:hint="eastAsia" w:ascii="仿宋_GB2312" w:hAnsi="仿宋_GB2312" w:eastAsia="仿宋_GB2312" w:cs="仿宋_GB2312"/>
          <w:sz w:val="32"/>
          <w:szCs w:val="32"/>
          <w:lang w:val="en-US" w:eastAsia="zh-CN"/>
        </w:rPr>
        <w:t>按约</w:t>
      </w:r>
      <w:r>
        <w:rPr>
          <w:rFonts w:hint="eastAsia" w:ascii="仿宋_GB2312" w:hAnsi="仿宋_GB2312" w:eastAsia="仿宋_GB2312" w:cs="仿宋_GB2312"/>
          <w:sz w:val="32"/>
          <w:szCs w:val="32"/>
        </w:rPr>
        <w:t>送货至甲方指定地点。</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乙方有权利要求甲方</w:t>
      </w:r>
      <w:r>
        <w:rPr>
          <w:rFonts w:hint="eastAsia" w:ascii="仿宋_GB2312" w:hAnsi="仿宋_GB2312" w:eastAsia="仿宋_GB2312" w:cs="仿宋_GB2312"/>
          <w:sz w:val="32"/>
          <w:szCs w:val="32"/>
          <w:lang w:val="en-US" w:eastAsia="zh-CN"/>
        </w:rPr>
        <w:t>按约</w:t>
      </w:r>
      <w:r>
        <w:rPr>
          <w:rFonts w:hint="eastAsia" w:ascii="仿宋_GB2312" w:hAnsi="仿宋_GB2312" w:eastAsia="仿宋_GB2312" w:cs="仿宋_GB2312"/>
          <w:sz w:val="32"/>
          <w:szCs w:val="32"/>
        </w:rPr>
        <w:t>支付</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、违约条款</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1、产品质量有缺陷，经甲方提醒后仍无法弥补视同乙方违约。</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2、乙方未能按照合同</w:t>
      </w:r>
      <w:r>
        <w:rPr>
          <w:rFonts w:hint="eastAsia" w:ascii="仿宋_GB2312" w:hAnsi="仿宋_GB2312" w:eastAsia="仿宋_GB2312" w:cs="仿宋_GB2312"/>
          <w:sz w:val="32"/>
          <w:szCs w:val="32"/>
          <w:lang w:val="en-US" w:eastAsia="zh-CN"/>
        </w:rPr>
        <w:t>约</w:t>
      </w:r>
      <w:r>
        <w:rPr>
          <w:rFonts w:hint="eastAsia" w:ascii="仿宋_GB2312" w:hAnsi="仿宋_GB2312" w:eastAsia="仿宋_GB2312" w:cs="仿宋_GB2312"/>
          <w:sz w:val="32"/>
          <w:szCs w:val="32"/>
        </w:rPr>
        <w:t>定的交货时间交货，视同乙方违约，每延期一天，甲方有权扣除</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万分之五</w:t>
      </w:r>
      <w:r>
        <w:rPr>
          <w:rFonts w:hint="eastAsia" w:ascii="仿宋_GB2312" w:hAnsi="仿宋_GB2312" w:eastAsia="仿宋_GB2312" w:cs="仿宋_GB2312"/>
          <w:sz w:val="32"/>
          <w:szCs w:val="32"/>
        </w:rPr>
        <w:t>作为违约金。</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、甲方在货品交付</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日后仍未支付</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视同甲方违约，每延期一天，乙方有权要求甲方支付违约金，即</w:t>
      </w:r>
      <w:r>
        <w:rPr>
          <w:rFonts w:hint="eastAsia" w:ascii="仿宋_GB2312" w:hAnsi="仿宋_GB2312" w:eastAsia="仿宋_GB2312" w:cs="仿宋_GB2312"/>
          <w:sz w:val="32"/>
          <w:szCs w:val="32"/>
          <w:lang w:val="en-US" w:eastAsia="zh-CN"/>
        </w:rPr>
        <w:t>未付货款</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万分之五</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4、如乙方货物存在质量问题，甲方有权拒付货款且不视为甲方违约，甲方不承担任何违约责任。</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如乙方货物存在质量问题，乙方应在3日内无条件更换为合格货物（更换相关全部费用由乙方承担，包括但不限于：运输费等）。如更换后仍不符合质量要求的，甲方有权退货，乙方应退还甲方全部货款并承担货款总金额15%的违约责任，退货相关全部费用（包括但不限于：运输费等）由乙方承担。</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、不可抗力条款</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可抗力是指本合同生效后，发生不能预见并且对其发生和后果不能防止或避免的事件，如地震、台风、水灾、火灾、战争等，致使直接影响本合同的履行或不能按约定的条件履行。发生不可抗力的一方应立即通知对方，并在十五天内提供不可抗力的详情及将有关证明文件送交对方。发生不可抗力事件时，甲乙双方应协商以寻找一个合理的解决方法，并尽一切努力减轻不可抗力产生的后果。如不可抗力事件持续三十天时，甲乙双方应友好协商解决本合同是否继续履行或终止的问题。</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、合同生效与终止</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w:t>
      </w: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sz w:val="32"/>
          <w:szCs w:val="32"/>
        </w:rPr>
        <w:t>双方</w:t>
      </w:r>
      <w:r>
        <w:rPr>
          <w:rFonts w:hint="eastAsia" w:ascii="仿宋_GB2312" w:hAnsi="仿宋_GB2312" w:eastAsia="仿宋_GB2312" w:cs="仿宋_GB2312"/>
          <w:sz w:val="32"/>
          <w:szCs w:val="32"/>
          <w:lang w:val="en-US" w:eastAsia="zh-CN"/>
        </w:rPr>
        <w:t>签字或盖章后生效</w:t>
      </w:r>
      <w:r>
        <w:rPr>
          <w:rFonts w:hint="eastAsia" w:ascii="仿宋_GB2312" w:hAnsi="仿宋_GB2312" w:eastAsia="仿宋_GB2312" w:cs="仿宋_GB2312"/>
          <w:sz w:val="32"/>
          <w:szCs w:val="32"/>
        </w:rPr>
        <w:t>。乙方货品交付完毕且甲方支付全部</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后，合同终止。</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十、争议处理</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及其修订本的有效性、履行和与本合同及其修订本效力有关的所有事宜，将受中华人民共和国法律管辖，任何争议仅适用中华人民共和国法律。甲乙双方因合同的解释或履行发生争议时，首先应争取通过友好协商解决。如协商不能解决时，合同的任何一方可将争议提交</w:t>
      </w:r>
      <w:r>
        <w:rPr>
          <w:rFonts w:hint="eastAsia" w:ascii="仿宋_GB2312" w:hAnsi="仿宋_GB2312" w:eastAsia="仿宋_GB2312" w:cs="仿宋_GB2312"/>
          <w:sz w:val="32"/>
          <w:szCs w:val="32"/>
          <w:lang w:val="en-US" w:eastAsia="zh-CN"/>
        </w:rPr>
        <w:t>甲方住所地人民法院诉讼解决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除争议事项外，甲乙双方应继续履行各自本合同中</w:t>
      </w:r>
      <w:r>
        <w:rPr>
          <w:rFonts w:hint="eastAsia" w:ascii="仿宋_GB2312" w:hAnsi="仿宋_GB2312" w:eastAsia="仿宋_GB2312" w:cs="仿宋_GB2312"/>
          <w:sz w:val="32"/>
          <w:szCs w:val="32"/>
          <w:lang w:val="en-US" w:eastAsia="zh-CN"/>
        </w:rPr>
        <w:t>约</w:t>
      </w:r>
      <w:r>
        <w:rPr>
          <w:rFonts w:hint="eastAsia" w:ascii="仿宋_GB2312" w:hAnsi="仿宋_GB2312" w:eastAsia="仿宋_GB2312" w:cs="仿宋_GB2312"/>
          <w:sz w:val="32"/>
          <w:szCs w:val="32"/>
        </w:rPr>
        <w:t>定的义务和行使权利。</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、合同确认</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本合同一式</w:t>
      </w:r>
      <w:r>
        <w:rPr>
          <w:rFonts w:hint="eastAsia" w:ascii="仿宋_GB2312" w:hAnsi="仿宋_GB2312" w:eastAsia="仿宋_GB2312" w:cs="仿宋_GB2312"/>
          <w:sz w:val="32"/>
          <w:szCs w:val="32"/>
          <w:lang w:val="en-US" w:eastAsia="zh-CN"/>
        </w:rPr>
        <w:t>肆</w:t>
      </w:r>
      <w:r>
        <w:rPr>
          <w:rFonts w:hint="eastAsia" w:ascii="仿宋_GB2312" w:hAnsi="仿宋_GB2312" w:eastAsia="仿宋_GB2312" w:cs="仿宋_GB2312"/>
          <w:sz w:val="32"/>
          <w:szCs w:val="32"/>
        </w:rPr>
        <w:t>份，甲乙双方各持</w:t>
      </w:r>
      <w:r>
        <w:rPr>
          <w:rFonts w:hint="eastAsia" w:ascii="仿宋_GB2312" w:hAnsi="仿宋_GB2312" w:eastAsia="仿宋_GB2312" w:cs="仿宋_GB2312"/>
          <w:sz w:val="32"/>
          <w:szCs w:val="32"/>
          <w:lang w:val="en-US" w:eastAsia="zh-CN"/>
        </w:rPr>
        <w:t>贰</w:t>
      </w:r>
      <w:r>
        <w:rPr>
          <w:rFonts w:hint="eastAsia" w:ascii="仿宋_GB2312" w:hAnsi="仿宋_GB2312" w:eastAsia="仿宋_GB2312" w:cs="仿宋_GB2312"/>
          <w:sz w:val="32"/>
          <w:szCs w:val="32"/>
        </w:rPr>
        <w:t>份，</w:t>
      </w:r>
      <w:r>
        <w:rPr>
          <w:rFonts w:hint="eastAsia" w:ascii="仿宋_GB2312" w:hAnsi="仿宋_GB2312" w:eastAsia="仿宋_GB2312" w:cs="仿宋_GB2312"/>
          <w:sz w:val="32"/>
          <w:szCs w:val="32"/>
          <w:lang w:val="en-US" w:eastAsia="zh-CN"/>
        </w:rPr>
        <w:t>双方签字或盖章</w:t>
      </w:r>
      <w:r>
        <w:rPr>
          <w:rFonts w:hint="eastAsia" w:ascii="仿宋_GB2312" w:hAnsi="仿宋_GB2312" w:eastAsia="仿宋_GB2312" w:cs="仿宋_GB2312"/>
          <w:sz w:val="32"/>
          <w:szCs w:val="32"/>
        </w:rPr>
        <w:t>之日起生效。</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附件：采购明细表</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甲方代表：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联系方式：                                  </w:t>
      </w:r>
      <w:bookmarkStart w:id="0" w:name="_GoBack"/>
      <w:bookmarkEnd w:id="0"/>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日期：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乙方代表：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联系方式：                                  </w:t>
      </w:r>
    </w:p>
    <w:p>
      <w:pPr>
        <w:keepNext w:val="0"/>
        <w:keepLines w:val="0"/>
        <w:pageBreakBefore w:val="0"/>
        <w:kinsoku/>
        <w:wordWrap/>
        <w:overflowPunct/>
        <w:topLinePunct w:val="0"/>
        <w:autoSpaceDE/>
        <w:autoSpaceDN/>
        <w:bidi w:val="0"/>
        <w:adjustRightInd/>
        <w:snapToGrid/>
        <w:spacing w:line="574" w:lineRule="exact"/>
        <w:textAlignment w:val="auto"/>
        <w:rPr>
          <w:rFonts w:hint="default"/>
          <w:lang w:val="en-US" w:eastAsia="zh-CN"/>
        </w:rPr>
      </w:pPr>
      <w:r>
        <w:rPr>
          <w:rFonts w:hint="eastAsia" w:ascii="仿宋_GB2312" w:hAnsi="仿宋_GB2312" w:eastAsia="仿宋_GB2312" w:cs="仿宋_GB2312"/>
          <w:sz w:val="32"/>
          <w:szCs w:val="32"/>
          <w:lang w:val="en-US" w:eastAsia="zh-CN"/>
        </w:rPr>
        <w:t xml:space="preserve">日期：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060EE19E"/>
    <w:multiLevelType w:val="singleLevel"/>
    <w:tmpl w:val="060EE19E"/>
    <w:lvl w:ilvl="0" w:tentative="0">
      <w:start w:val="1"/>
      <w:numFmt w:val="decimal"/>
      <w:suff w:val="nothing"/>
      <w:lvlText w:val="%1．"/>
      <w:lvlJc w:val="left"/>
    </w:lvl>
  </w:abstractNum>
  <w:abstractNum w:abstractNumId="2">
    <w:nsid w:val="5A77FDBC"/>
    <w:multiLevelType w:val="singleLevel"/>
    <w:tmpl w:val="5A77FDBC"/>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361719C1"/>
    <w:rsid w:val="6D4E5FC4"/>
    <w:rsid w:val="7CEB2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3">
    <w:name w:val="footer"/>
    <w:basedOn w:val="1"/>
    <w:qFormat/>
    <w:uiPriority w:val="99"/>
    <w:pPr>
      <w:tabs>
        <w:tab w:val="center" w:pos="4153"/>
        <w:tab w:val="right" w:pos="8306"/>
      </w:tabs>
      <w:snapToGrid w:val="0"/>
      <w:jc w:val="left"/>
    </w:pPr>
    <w:rPr>
      <w:sz w:val="18"/>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6850</Words>
  <Characters>8319</Characters>
  <Lines>0</Lines>
  <Paragraphs>0</Paragraphs>
  <TotalTime>4</TotalTime>
  <ScaleCrop>false</ScaleCrop>
  <LinksUpToDate>false</LinksUpToDate>
  <CharactersWithSpaces>8662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dcterms:modified xsi:type="dcterms:W3CDTF">2023-05-05T08:07:33Z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76C9A4773B63434B9FC51B57D37D2DB1_11</vt:lpwstr>
  </property>
</Properties>
</file>