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4" w:lineRule="exact"/>
        <w:ind w:firstLine="883" w:firstLineChars="200"/>
        <w:jc w:val="center"/>
        <w:textAlignment w:val="auto"/>
        <w:rPr>
          <w:rFonts w:hint="default" w:ascii="宋体" w:hAnsi="宋体" w:eastAsia="宋体" w:cs="宋体"/>
          <w:b/>
          <w:bCs/>
          <w:sz w:val="44"/>
          <w:szCs w:val="44"/>
          <w:u w:val="none" w:color="auto"/>
          <w:lang w:val="en-US" w:eastAsia="zh-Hans"/>
        </w:rPr>
      </w:pPr>
      <w:r>
        <w:rPr>
          <w:rFonts w:hint="eastAsia" w:ascii="宋体" w:hAnsi="宋体" w:eastAsia="宋体" w:cs="宋体"/>
          <w:b/>
          <w:bCs/>
          <w:sz w:val="44"/>
          <w:szCs w:val="44"/>
          <w:u w:val="none" w:color="auto"/>
          <w:lang w:val="en-US" w:eastAsia="zh-Hans"/>
        </w:rPr>
        <w:t>采购需求</w:t>
      </w:r>
    </w:p>
    <w:p>
      <w:pPr>
        <w:keepNext w:val="0"/>
        <w:keepLines w:val="0"/>
        <w:pageBreakBefore w:val="0"/>
        <w:widowControl w:val="0"/>
        <w:kinsoku/>
        <w:wordWrap/>
        <w:overflowPunct/>
        <w:topLinePunct w:val="0"/>
        <w:autoSpaceDE/>
        <w:autoSpaceDN/>
        <w:bidi w:val="0"/>
        <w:adjustRightInd/>
        <w:snapToGrid/>
        <w:spacing w:line="574" w:lineRule="exact"/>
        <w:ind w:firstLine="482" w:firstLineChars="200"/>
        <w:textAlignment w:val="auto"/>
        <w:rPr>
          <w:rFonts w:hint="eastAsia" w:ascii="宋体" w:hAnsi="宋体" w:eastAsia="宋体" w:cs="宋体"/>
          <w:b/>
          <w:bCs/>
          <w:sz w:val="24"/>
          <w:szCs w:val="24"/>
          <w:u w:val="single" w:color="auto"/>
          <w:lang w:val="en-US" w:eastAsia="zh-CN"/>
        </w:rPr>
      </w:pPr>
      <w:r>
        <w:rPr>
          <w:rFonts w:hint="eastAsia" w:ascii="宋体" w:hAnsi="宋体" w:eastAsia="宋体" w:cs="宋体"/>
          <w:b/>
          <w:bCs/>
          <w:sz w:val="24"/>
          <w:szCs w:val="24"/>
          <w:u w:val="single" w:color="auto"/>
          <w:lang w:val="en-US" w:eastAsia="zh-CN"/>
        </w:rPr>
        <w:t>注：项目要求及商务要求以“★”标示的内容为实质性要求，属于必须遵守的条件；如不满足将作无效响应文件处理。</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74"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一、项目概述</w:t>
      </w:r>
    </w:p>
    <w:p>
      <w:pPr>
        <w:keepNext w:val="0"/>
        <w:keepLines w:val="0"/>
        <w:pageBreakBefore w:val="0"/>
        <w:widowControl w:val="0"/>
        <w:kinsoku/>
        <w:wordWrap/>
        <w:overflowPunct/>
        <w:topLinePunct w:val="0"/>
        <w:autoSpaceDE/>
        <w:autoSpaceDN/>
        <w:bidi w:val="0"/>
        <w:adjustRightInd/>
        <w:snapToGrid/>
        <w:spacing w:line="574" w:lineRule="exact"/>
        <w:ind w:firstLine="480" w:firstLineChars="200"/>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lang w:val="en-US" w:eastAsia="zh-CN"/>
        </w:rPr>
        <w:t>为满足“</w:t>
      </w:r>
      <w:r>
        <w:rPr>
          <w:rFonts w:hint="eastAsia" w:ascii="宋体" w:hAnsi="宋体" w:eastAsia="宋体" w:cs="宋体"/>
          <w:sz w:val="24"/>
          <w:szCs w:val="24"/>
          <w:u w:val="none" w:color="auto"/>
          <w:lang w:eastAsia="zh-CN"/>
        </w:rPr>
        <w:t>李白故里文化旅游节暨中国文旅数字IP产业发展大会</w:t>
      </w:r>
      <w:r>
        <w:rPr>
          <w:rFonts w:hint="eastAsia" w:ascii="宋体" w:hAnsi="宋体" w:eastAsia="宋体" w:cs="宋体"/>
          <w:sz w:val="24"/>
          <w:szCs w:val="24"/>
          <w:u w:val="none" w:color="auto"/>
          <w:lang w:val="en-US" w:eastAsia="zh-CN"/>
        </w:rPr>
        <w:t>”需要，江油博飞文化旅游开发集团有限公司拟通过竞争性磋商方式确定本次大会的执行服务单位</w:t>
      </w:r>
      <w:r>
        <w:rPr>
          <w:rFonts w:hint="eastAsia" w:ascii="宋体" w:hAnsi="宋体" w:eastAsia="宋体" w:cs="宋体"/>
          <w:sz w:val="24"/>
          <w:szCs w:val="24"/>
          <w:u w:val="none" w:color="auto"/>
        </w:rPr>
        <w:t>。资金来源为</w:t>
      </w:r>
      <w:r>
        <w:rPr>
          <w:rFonts w:hint="eastAsia" w:ascii="宋体" w:hAnsi="宋体" w:eastAsia="宋体" w:cs="宋体"/>
          <w:sz w:val="24"/>
          <w:szCs w:val="24"/>
          <w:u w:val="none" w:color="auto"/>
          <w:lang w:val="en-US" w:eastAsia="zh-CN"/>
        </w:rPr>
        <w:t>采购人</w:t>
      </w:r>
      <w:r>
        <w:rPr>
          <w:rFonts w:hint="eastAsia" w:ascii="宋体" w:hAnsi="宋体" w:eastAsia="宋体" w:cs="宋体"/>
          <w:sz w:val="24"/>
          <w:szCs w:val="24"/>
          <w:u w:val="none" w:color="auto"/>
        </w:rPr>
        <w:t>自筹资金，采购限额估算金额</w:t>
      </w:r>
      <w:r>
        <w:rPr>
          <w:rFonts w:hint="eastAsia" w:hAnsi="宋体" w:eastAsia="宋体" w:cs="宋体"/>
          <w:sz w:val="24"/>
          <w:szCs w:val="24"/>
          <w:u w:val="none" w:color="auto"/>
          <w:lang w:val="en-US" w:eastAsia="zh-CN"/>
        </w:rPr>
        <w:t>为</w:t>
      </w:r>
      <w:r>
        <w:rPr>
          <w:rFonts w:hint="eastAsia" w:hAnsi="宋体" w:cs="宋体"/>
          <w:sz w:val="24"/>
          <w:szCs w:val="24"/>
          <w:u w:val="none" w:color="auto"/>
          <w:lang w:val="en-US" w:eastAsia="zh-CN"/>
        </w:rPr>
        <w:t>725</w:t>
      </w:r>
      <w:r>
        <w:rPr>
          <w:rFonts w:hint="eastAsia" w:ascii="宋体" w:hAnsi="宋体" w:eastAsia="宋体" w:cs="宋体"/>
          <w:sz w:val="24"/>
          <w:szCs w:val="24"/>
          <w:u w:val="none" w:color="auto"/>
        </w:rPr>
        <w:t>万元。</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74"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二、★技术、商务要求</w:t>
      </w:r>
    </w:p>
    <w:p>
      <w:pPr>
        <w:keepNext w:val="0"/>
        <w:keepLines w:val="0"/>
        <w:pageBreakBefore w:val="0"/>
        <w:widowControl w:val="0"/>
        <w:kinsoku/>
        <w:wordWrap/>
        <w:overflowPunct/>
        <w:topLinePunct w:val="0"/>
        <w:autoSpaceDE/>
        <w:autoSpaceDN/>
        <w:bidi w:val="0"/>
        <w:adjustRightInd/>
        <w:snapToGrid/>
        <w:spacing w:line="574" w:lineRule="exact"/>
        <w:ind w:firstLine="482" w:firstLineChars="200"/>
        <w:textAlignment w:val="auto"/>
        <w:rPr>
          <w:rFonts w:hint="eastAsia" w:hAnsi="宋体" w:cs="宋体"/>
          <w:b/>
          <w:bCs/>
          <w:sz w:val="24"/>
          <w:szCs w:val="24"/>
          <w:highlight w:val="none"/>
          <w:u w:val="none" w:color="auto"/>
          <w:lang w:val="en-US" w:eastAsia="zh-CN"/>
        </w:rPr>
      </w:pPr>
      <w:r>
        <w:rPr>
          <w:rFonts w:hint="eastAsia" w:hAnsi="宋体" w:cs="宋体"/>
          <w:b/>
          <w:bCs/>
          <w:sz w:val="24"/>
          <w:szCs w:val="24"/>
          <w:highlight w:val="none"/>
          <w:u w:val="none" w:color="auto"/>
          <w:lang w:val="en-US" w:eastAsia="zh-CN"/>
        </w:rPr>
        <w:t>（一）技术要求</w:t>
      </w:r>
    </w:p>
    <w:p>
      <w:pPr>
        <w:keepNext w:val="0"/>
        <w:keepLines w:val="0"/>
        <w:pageBreakBefore w:val="0"/>
        <w:widowControl w:val="0"/>
        <w:kinsoku/>
        <w:wordWrap/>
        <w:overflowPunct/>
        <w:topLinePunct w:val="0"/>
        <w:autoSpaceDE/>
        <w:autoSpaceDN/>
        <w:bidi w:val="0"/>
        <w:adjustRightInd/>
        <w:snapToGrid/>
        <w:spacing w:line="574" w:lineRule="exact"/>
        <w:ind w:firstLine="482" w:firstLineChars="200"/>
        <w:textAlignment w:val="auto"/>
        <w:rPr>
          <w:rFonts w:hint="eastAsia" w:ascii="宋体" w:hAnsi="宋体" w:eastAsia="宋体" w:cs="宋体"/>
          <w:b/>
          <w:bCs/>
          <w:sz w:val="24"/>
          <w:szCs w:val="24"/>
          <w:highlight w:val="none"/>
          <w:u w:val="none" w:color="auto"/>
        </w:rPr>
      </w:pPr>
      <w:r>
        <w:rPr>
          <w:rFonts w:hint="eastAsia" w:hAnsi="宋体" w:cs="宋体"/>
          <w:b/>
          <w:bCs/>
          <w:sz w:val="24"/>
          <w:szCs w:val="24"/>
          <w:highlight w:val="none"/>
          <w:u w:val="none" w:color="auto"/>
          <w:lang w:val="en-US" w:eastAsia="zh-CN"/>
        </w:rPr>
        <w:t>1、</w:t>
      </w:r>
      <w:r>
        <w:rPr>
          <w:rFonts w:hint="eastAsia" w:hAnsi="宋体" w:eastAsia="宋体" w:cs="宋体"/>
          <w:b/>
          <w:bCs/>
          <w:sz w:val="24"/>
          <w:szCs w:val="24"/>
          <w:highlight w:val="none"/>
          <w:u w:val="none" w:color="auto"/>
          <w:lang w:val="en-US" w:eastAsia="zh-CN"/>
        </w:rPr>
        <w:t>服务</w:t>
      </w:r>
      <w:r>
        <w:rPr>
          <w:rFonts w:hint="eastAsia" w:ascii="宋体" w:hAnsi="宋体" w:eastAsia="宋体" w:cs="宋体"/>
          <w:b/>
          <w:bCs/>
          <w:sz w:val="24"/>
          <w:szCs w:val="24"/>
          <w:highlight w:val="none"/>
          <w:u w:val="none" w:color="auto"/>
        </w:rPr>
        <w:t>内容</w:t>
      </w:r>
    </w:p>
    <w:tbl>
      <w:tblPr>
        <w:tblStyle w:val="5"/>
        <w:tblW w:w="163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32"/>
        <w:gridCol w:w="2331"/>
        <w:gridCol w:w="3410"/>
        <w:gridCol w:w="5773"/>
        <w:gridCol w:w="38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932"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序号</w:t>
            </w:r>
          </w:p>
        </w:tc>
        <w:tc>
          <w:tcPr>
            <w:tcW w:w="2331"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大类</w:t>
            </w:r>
          </w:p>
        </w:tc>
        <w:tc>
          <w:tcPr>
            <w:tcW w:w="3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服务描述</w:t>
            </w:r>
          </w:p>
        </w:tc>
        <w:tc>
          <w:tcPr>
            <w:tcW w:w="5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具体内容</w:t>
            </w:r>
          </w:p>
        </w:tc>
        <w:tc>
          <w:tcPr>
            <w:tcW w:w="387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932"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1</w:t>
            </w:r>
          </w:p>
        </w:tc>
        <w:tc>
          <w:tcPr>
            <w:tcW w:w="2331"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一、大会整体宣传</w:t>
            </w:r>
          </w:p>
        </w:tc>
        <w:tc>
          <w:tcPr>
            <w:tcW w:w="341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br w:type="textWrapping"/>
            </w:r>
            <w:r>
              <w:rPr>
                <w:rFonts w:hint="eastAsia" w:ascii="微软雅黑" w:hAnsi="微软雅黑" w:eastAsia="微软雅黑" w:cs="微软雅黑"/>
                <w:i w:val="0"/>
                <w:iCs w:val="0"/>
                <w:color w:val="auto"/>
                <w:kern w:val="0"/>
                <w:sz w:val="20"/>
                <w:szCs w:val="20"/>
                <w:u w:val="none"/>
                <w:lang w:val="en-US" w:eastAsia="zh-CN" w:bidi="ar"/>
              </w:rPr>
              <w:t>1、对绵阳市文化和旅游发展大会、李白故里文化旅游节暨中国文旅数字IP产业发展大会进行全方位、全媒体的报道。</w:t>
            </w:r>
            <w:r>
              <w:rPr>
                <w:rFonts w:hint="eastAsia" w:ascii="微软雅黑" w:hAnsi="微软雅黑" w:eastAsia="微软雅黑" w:cs="微软雅黑"/>
                <w:i w:val="0"/>
                <w:iCs w:val="0"/>
                <w:color w:val="auto"/>
                <w:kern w:val="0"/>
                <w:sz w:val="20"/>
                <w:szCs w:val="20"/>
                <w:u w:val="none"/>
                <w:lang w:val="en-US" w:eastAsia="zh-CN" w:bidi="ar"/>
              </w:rPr>
              <w:br w:type="textWrapping"/>
            </w:r>
            <w:r>
              <w:rPr>
                <w:rFonts w:hint="eastAsia" w:ascii="微软雅黑" w:hAnsi="微软雅黑" w:eastAsia="微软雅黑" w:cs="微软雅黑"/>
                <w:i w:val="0"/>
                <w:iCs w:val="0"/>
                <w:color w:val="auto"/>
                <w:kern w:val="0"/>
                <w:sz w:val="20"/>
                <w:szCs w:val="20"/>
                <w:u w:val="none"/>
                <w:lang w:val="en-US" w:eastAsia="zh-CN" w:bidi="ar"/>
              </w:rPr>
              <w:t>2、整体宣传周期：2022.3.10-2022.4.10</w:t>
            </w:r>
          </w:p>
        </w:tc>
        <w:tc>
          <w:tcPr>
            <w:tcW w:w="5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策划相关话题，并通过国家级媒体微博账号发布数字人李白和大会相关预热活动</w:t>
            </w:r>
          </w:p>
        </w:tc>
        <w:tc>
          <w:tcPr>
            <w:tcW w:w="387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要求：话题阅读量不少于1亿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932"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2</w:t>
            </w:r>
          </w:p>
        </w:tc>
        <w:tc>
          <w:tcPr>
            <w:tcW w:w="2331" w:type="dxa"/>
            <w:vMerge w:val="continue"/>
            <w:tcBorders>
              <w:top w:val="single" w:color="auto" w:sz="4" w:space="0"/>
              <w:left w:val="single" w:color="auto" w:sz="4" w:space="0"/>
              <w:bottom w:val="single" w:color="auto" w:sz="4" w:space="0"/>
              <w:right w:val="single" w:color="auto"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在全国范围内的20块城市地标LED屏（含裸眼3D屏）提供不低于60次/日高频轮播，例如北京、上海、重庆、成都等城市。</w:t>
            </w:r>
          </w:p>
        </w:tc>
        <w:tc>
          <w:tcPr>
            <w:tcW w:w="387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要求：触达人群不低于5000万人次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32"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3</w:t>
            </w:r>
          </w:p>
        </w:tc>
        <w:tc>
          <w:tcPr>
            <w:tcW w:w="2331" w:type="dxa"/>
            <w:vMerge w:val="continue"/>
            <w:tcBorders>
              <w:top w:val="single" w:color="auto" w:sz="4" w:space="0"/>
              <w:left w:val="single" w:color="auto" w:sz="4" w:space="0"/>
              <w:bottom w:val="single" w:color="auto" w:sz="4" w:space="0"/>
              <w:right w:val="single" w:color="auto"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撰写内容稿件，并通过地方媒体和网路媒体发布活动预热稿件</w:t>
            </w:r>
          </w:p>
        </w:tc>
        <w:tc>
          <w:tcPr>
            <w:tcW w:w="3872" w:type="dxa"/>
            <w:tcBorders>
              <w:top w:val="single" w:color="000000" w:sz="4" w:space="0"/>
              <w:left w:val="single" w:color="auto"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jc w:val="center"/>
        </w:trPr>
        <w:tc>
          <w:tcPr>
            <w:tcW w:w="932"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4</w:t>
            </w:r>
          </w:p>
        </w:tc>
        <w:tc>
          <w:tcPr>
            <w:tcW w:w="2331" w:type="dxa"/>
            <w:vMerge w:val="continue"/>
            <w:tcBorders>
              <w:top w:val="single" w:color="auto" w:sz="4" w:space="0"/>
              <w:left w:val="single" w:color="auto" w:sz="4" w:space="0"/>
              <w:bottom w:val="single" w:color="auto" w:sz="4" w:space="0"/>
              <w:right w:val="single" w:color="auto"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在大会召开之前，网站、客户端重点位置对整体大会开幕式直播进行重点推荐。大会期间通过国家级重点新闻网站发布活动专题，对大会开幕式等主要环节进行全程网络直播。并在网站、客户端重点位置对大会开幕式直播进行重点推荐。</w:t>
            </w:r>
          </w:p>
        </w:tc>
        <w:tc>
          <w:tcPr>
            <w:tcW w:w="387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专题需覆盖PC端网站和移动客户端，3月20日之前专题上线，至少保留6个月。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32"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5</w:t>
            </w:r>
          </w:p>
        </w:tc>
        <w:tc>
          <w:tcPr>
            <w:tcW w:w="2331" w:type="dxa"/>
            <w:vMerge w:val="continue"/>
            <w:tcBorders>
              <w:top w:val="single" w:color="auto" w:sz="4" w:space="0"/>
              <w:left w:val="single" w:color="auto" w:sz="4" w:space="0"/>
              <w:bottom w:val="single" w:color="auto" w:sz="4" w:space="0"/>
              <w:right w:val="single" w:color="auto"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通过国家级重点新闻网站第三方平台账号发起话题讨论</w:t>
            </w:r>
          </w:p>
        </w:tc>
        <w:tc>
          <w:tcPr>
            <w:tcW w:w="387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例如微博账号账号粉丝数不低于1000万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932"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6</w:t>
            </w:r>
          </w:p>
        </w:tc>
        <w:tc>
          <w:tcPr>
            <w:tcW w:w="2331" w:type="dxa"/>
            <w:vMerge w:val="continue"/>
            <w:tcBorders>
              <w:top w:val="single" w:color="auto" w:sz="4" w:space="0"/>
              <w:left w:val="single" w:color="auto" w:sz="4" w:space="0"/>
              <w:bottom w:val="single" w:color="auto" w:sz="4" w:space="0"/>
              <w:right w:val="single" w:color="auto"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通过国家级重点网站、公众号（如新华网、央视网等，不少于10家）发布活动深度传播稿件，引起网友热议。</w:t>
            </w:r>
          </w:p>
        </w:tc>
        <w:tc>
          <w:tcPr>
            <w:tcW w:w="387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包括稿件撰写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32"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bookmarkStart w:id="0" w:name="_GoBack"/>
            <w:bookmarkEnd w:id="0"/>
            <w:r>
              <w:rPr>
                <w:rFonts w:hint="default" w:ascii="微软雅黑" w:hAnsi="微软雅黑" w:eastAsia="微软雅黑" w:cs="微软雅黑"/>
                <w:i w:val="0"/>
                <w:iCs w:val="0"/>
                <w:color w:val="000000"/>
                <w:kern w:val="0"/>
                <w:sz w:val="20"/>
                <w:szCs w:val="20"/>
                <w:u w:val="none"/>
                <w:lang w:val="en-US" w:eastAsia="zh-CN" w:bidi="ar"/>
              </w:rPr>
              <w:t>7</w:t>
            </w:r>
          </w:p>
        </w:tc>
        <w:tc>
          <w:tcPr>
            <w:tcW w:w="2331" w:type="dxa"/>
            <w:vMerge w:val="continue"/>
            <w:tcBorders>
              <w:top w:val="single" w:color="auto" w:sz="4" w:space="0"/>
              <w:left w:val="single" w:color="auto" w:sz="4" w:space="0"/>
              <w:bottom w:val="single" w:color="auto" w:sz="4" w:space="0"/>
              <w:right w:val="single" w:color="auto"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通过国家级、省级电视媒体对大会进行报道</w:t>
            </w:r>
          </w:p>
        </w:tc>
        <w:tc>
          <w:tcPr>
            <w:tcW w:w="387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参与报道的电视媒体不少于两家。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932"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8</w:t>
            </w:r>
          </w:p>
        </w:tc>
        <w:tc>
          <w:tcPr>
            <w:tcW w:w="2331" w:type="dxa"/>
            <w:vMerge w:val="continue"/>
            <w:tcBorders>
              <w:top w:val="single" w:color="auto" w:sz="4" w:space="0"/>
              <w:left w:val="single" w:color="auto" w:sz="4" w:space="0"/>
              <w:bottom w:val="single" w:color="auto" w:sz="4" w:space="0"/>
              <w:right w:val="single" w:color="auto"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配合大会宣传，负责大会宣传新闻稿件的撰写（通稿及深度稿件）</w:t>
            </w:r>
          </w:p>
        </w:tc>
        <w:tc>
          <w:tcPr>
            <w:tcW w:w="3872" w:type="dxa"/>
            <w:tcBorders>
              <w:top w:val="single" w:color="000000" w:sz="4" w:space="0"/>
              <w:left w:val="single" w:color="auto"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32"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eastAsia="zh-CN" w:bidi="ar"/>
              </w:rPr>
            </w:pPr>
            <w:r>
              <w:rPr>
                <w:rFonts w:hint="default" w:ascii="微软雅黑" w:hAnsi="微软雅黑" w:eastAsia="微软雅黑" w:cs="微软雅黑"/>
                <w:i w:val="0"/>
                <w:iCs w:val="0"/>
                <w:color w:val="000000"/>
                <w:kern w:val="0"/>
                <w:sz w:val="20"/>
                <w:szCs w:val="20"/>
                <w:u w:val="none"/>
                <w:lang w:val="en-US" w:eastAsia="zh-CN" w:bidi="ar"/>
              </w:rPr>
              <w:t>9</w:t>
            </w:r>
          </w:p>
        </w:tc>
        <w:tc>
          <w:tcPr>
            <w:tcW w:w="2331"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341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5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配合大会宣传，发布江油市文旅宣传片</w:t>
            </w:r>
          </w:p>
        </w:tc>
        <w:tc>
          <w:tcPr>
            <w:tcW w:w="3872"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32" w:type="dxa"/>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10</w:t>
            </w:r>
          </w:p>
        </w:tc>
        <w:tc>
          <w:tcPr>
            <w:tcW w:w="2331" w:type="dxa"/>
            <w:vMerge w:val="restar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二、大会组织及服务</w:t>
            </w:r>
          </w:p>
        </w:tc>
        <w:tc>
          <w:tcPr>
            <w:tcW w:w="3410" w:type="dxa"/>
            <w:vMerge w:val="restart"/>
            <w:tcBorders>
              <w:top w:val="single" w:color="auto" w:sz="4" w:space="0"/>
              <w:left w:val="single" w:color="000000" w:sz="4" w:space="0"/>
              <w:bottom w:val="nil"/>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1、负责策划和组织参会人员规模约400人的开幕式活动。</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2、根据活动主题及规格，邀请参会嘉宾，嘉宾覆盖专家、行业精英等约70人。</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3、承担参加本次活动所有嘉宾的食、宿、行，及必要的一对一接待工作。</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4、承担活动开幕式、三场会议（文旅大会、李白研讨会、数字赋能圆桌会议）的场租及大会开幕式、圆桌会议的会务服务。</w:t>
            </w:r>
          </w:p>
        </w:tc>
        <w:tc>
          <w:tcPr>
            <w:tcW w:w="5773"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嘉宾餐饮标准，每人每餐不高于120元，不低于100元。</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按照每位嘉宾3次正餐计算。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11</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nil"/>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外地嘉宾住宿标准不高于500元/晚。</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按照80位嘉宾核算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12</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nil"/>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工作人员不高于250元/晚。</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按照100人次工作人员核算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13</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nil"/>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外地参会人员、工作人员往返交通费用不高于2000元每人次。</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按照80位嘉宾，100人次工作人员核算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14</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nil"/>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活动用车费用，包括市内、接送机等，分为轿车、中型车、大型车等。</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轿车：两天共计10辆，</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商务车：三天共计18辆，</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39座车：两天共计10辆。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5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15</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nil"/>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会议服务及接待人员（包括重要嘉宾的一对一接待）</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礼仪：3天共计30人，</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会务服务人员：5天共计30人</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统筹及项目管理人员：5天共计20人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16</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nil"/>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大会期间青莲至江油城区主干道、主会场、酒店周边、会场内部氛围营造（包括制作）</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在城市主干道，通过户外广告位、灯箱等为大会营造必要的气氛。</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时间：1个月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17</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nil"/>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印刷品设计制作</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大会导视易拉宝、大会手册（400份）、精美旅游宣传图册（400册）、旅游手册（2000份）、文创品等设计制作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18</w:t>
            </w:r>
          </w:p>
        </w:tc>
        <w:tc>
          <w:tcPr>
            <w:tcW w:w="233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三、大会开幕式活动</w:t>
            </w:r>
          </w:p>
        </w:tc>
        <w:tc>
          <w:tcPr>
            <w:tcW w:w="341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大会开幕式作为本次活动的重要环节，</w:t>
            </w:r>
            <w:r>
              <w:rPr>
                <w:rFonts w:hint="eastAsia" w:ascii="微软雅黑" w:hAnsi="微软雅黑" w:eastAsia="微软雅黑" w:cs="微软雅黑"/>
                <w:i w:val="0"/>
                <w:iCs w:val="0"/>
                <w:color w:val="000000"/>
                <w:kern w:val="0"/>
                <w:sz w:val="20"/>
                <w:szCs w:val="20"/>
                <w:highlight w:val="none"/>
                <w:u w:val="none"/>
                <w:lang w:val="en-US" w:eastAsia="zh-CN" w:bidi="ar"/>
              </w:rPr>
              <w:t>涉及十余个中间环节及重要内容的发布</w:t>
            </w:r>
            <w:r>
              <w:rPr>
                <w:rFonts w:hint="eastAsia" w:ascii="微软雅黑" w:hAnsi="微软雅黑" w:eastAsia="微软雅黑" w:cs="微软雅黑"/>
                <w:b/>
                <w:bCs/>
                <w:i w:val="0"/>
                <w:iCs w:val="0"/>
                <w:color w:val="FF0000"/>
                <w:kern w:val="0"/>
                <w:sz w:val="20"/>
                <w:szCs w:val="20"/>
                <w:highlight w:val="none"/>
                <w:u w:val="none"/>
                <w:lang w:val="en-US" w:eastAsia="zh-CN" w:bidi="ar"/>
              </w:rPr>
              <w:t>（详见附件：大会开幕式流程）</w:t>
            </w:r>
            <w:r>
              <w:rPr>
                <w:rFonts w:hint="eastAsia" w:ascii="微软雅黑" w:hAnsi="微软雅黑" w:eastAsia="微软雅黑" w:cs="微软雅黑"/>
                <w:i w:val="0"/>
                <w:iCs w:val="0"/>
                <w:color w:val="000000"/>
                <w:kern w:val="0"/>
                <w:sz w:val="20"/>
                <w:szCs w:val="20"/>
                <w:highlight w:val="none"/>
                <w:u w:val="none"/>
                <w:lang w:val="en-US" w:eastAsia="zh-CN" w:bidi="ar"/>
              </w:rPr>
              <w:t>。需要结</w:t>
            </w:r>
            <w:r>
              <w:rPr>
                <w:rFonts w:hint="eastAsia" w:ascii="微软雅黑" w:hAnsi="微软雅黑" w:eastAsia="微软雅黑" w:cs="微软雅黑"/>
                <w:i w:val="0"/>
                <w:iCs w:val="0"/>
                <w:color w:val="000000"/>
                <w:kern w:val="0"/>
                <w:sz w:val="20"/>
                <w:szCs w:val="20"/>
                <w:u w:val="none"/>
                <w:lang w:val="en-US" w:eastAsia="zh-CN" w:bidi="ar"/>
              </w:rPr>
              <w:t>合本次大会流程，对开幕式流程进行策划、串词、脚本撰写（每个流程之间的串词撰写、每个流程的背景制作），最终完成本次开幕式活动的组织工作。</w:t>
            </w: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开幕式环节策划、主持人脚本撰写等</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19</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开幕式现场舞美搭建、灯光音效、会场外部氛围包装制作，现场施工、物料运输等，部分环节所需装置的制作或租赁</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要求：附详细的物料明细清单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20</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开幕式文艺演出</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邀请国家级演出机构围绕大会主题进行节目定制，演出节目不少于2个，节目总时长不少于10分钟。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21</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开幕式主持人邀请</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主持人为国家级媒体、国家级重点新闻网站出镜主持人两名，近半年内有在电视端或网络端主持的经历。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22</w:t>
            </w:r>
          </w:p>
        </w:tc>
        <w:tc>
          <w:tcPr>
            <w:tcW w:w="233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四、线下主题展览</w:t>
            </w:r>
          </w:p>
        </w:tc>
        <w:tc>
          <w:tcPr>
            <w:tcW w:w="341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策划、设计并执行一场包括涪江流域非遗精品、绵阳市文旅资源展示、数字文旅体验和展示等内容在内的线下展览。</w:t>
            </w: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负责展区的整体外围搭建</w:t>
            </w:r>
          </w:p>
        </w:tc>
        <w:tc>
          <w:tcPr>
            <w:tcW w:w="387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要求：附具体内容和核算方式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23</w:t>
            </w:r>
          </w:p>
        </w:tc>
        <w:tc>
          <w:tcPr>
            <w:tcW w:w="23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负责整体展览的规划、展览风格设计:</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包括动线规划，导视系统规划，展陈内容及资料梳理，布展排版;</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展区效果图设计，平面排版图，施工图制作，图文校对。</w:t>
            </w:r>
          </w:p>
        </w:tc>
        <w:tc>
          <w:tcPr>
            <w:tcW w:w="387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24</w:t>
            </w:r>
          </w:p>
        </w:tc>
        <w:tc>
          <w:tcPr>
            <w:tcW w:w="23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涪江流域非遗精品展区、绵阳市文旅资源展区、数字文旅展区的设计、策划和布展。通过 AI 技术，以诗、书、笔墨为素材，采用数字化手段，呈现绵阳、江油当地特色文旅内容。展示时段：3月23日-3月26日，共计4天。</w:t>
            </w:r>
          </w:p>
        </w:tc>
        <w:tc>
          <w:tcPr>
            <w:tcW w:w="387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25</w:t>
            </w:r>
          </w:p>
        </w:tc>
        <w:tc>
          <w:tcPr>
            <w:tcW w:w="23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其他公共区域建设、美化，物料运输及基础建设</w:t>
            </w:r>
          </w:p>
        </w:tc>
        <w:tc>
          <w:tcPr>
            <w:tcW w:w="387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26</w:t>
            </w:r>
          </w:p>
        </w:tc>
        <w:tc>
          <w:tcPr>
            <w:tcW w:w="233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展馆外围会场外围导视，道旗，主题展板搭建、展区安全保护</w:t>
            </w:r>
          </w:p>
        </w:tc>
        <w:tc>
          <w:tcPr>
            <w:tcW w:w="387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27</w:t>
            </w:r>
          </w:p>
        </w:tc>
        <w:tc>
          <w:tcPr>
            <w:tcW w:w="233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五、圆桌会议</w:t>
            </w:r>
          </w:p>
        </w:tc>
        <w:tc>
          <w:tcPr>
            <w:tcW w:w="341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根据会议内容策划“圆桌会议（暂定名）“，并邀请国家级媒体出镜主持人主持本次活动，同时为本次活动提供现场会议布置、组织和服务工作。</w:t>
            </w: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圆桌会议现场舞美搭建及设备租赁</w:t>
            </w:r>
          </w:p>
        </w:tc>
        <w:tc>
          <w:tcPr>
            <w:tcW w:w="387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要求：附具体内容和核算方式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28</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会场现场氛围包装</w:t>
            </w:r>
          </w:p>
        </w:tc>
        <w:tc>
          <w:tcPr>
            <w:tcW w:w="387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29</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会议摄影摄像部分（录制）</w:t>
            </w:r>
          </w:p>
        </w:tc>
        <w:tc>
          <w:tcPr>
            <w:tcW w:w="387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30</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设计及基础费用     </w:t>
            </w:r>
          </w:p>
        </w:tc>
        <w:tc>
          <w:tcPr>
            <w:tcW w:w="387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31</w:t>
            </w:r>
          </w:p>
        </w:tc>
        <w:tc>
          <w:tcPr>
            <w:tcW w:w="23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六、网络直播带货</w:t>
            </w:r>
          </w:p>
        </w:tc>
        <w:tc>
          <w:tcPr>
            <w:tcW w:w="34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围绕江油当地旅游、美食、人文、非遗四大方面拟定主题，策划直播环节，将直播带货与文旅宣传相结合，推广地方特产的同时，进一步宣传江油文旅特色。</w:t>
            </w: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抖音平台直播账号要求：国家级媒体抖音平台账号</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账号粉丝数不低于5000万</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直播时长不低于2小时</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建立并宣传数字人‘李白’社交媒体账号</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详见附件4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32</w:t>
            </w:r>
          </w:p>
        </w:tc>
        <w:tc>
          <w:tcPr>
            <w:tcW w:w="233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七、数字人李白</w:t>
            </w:r>
          </w:p>
        </w:tc>
        <w:tc>
          <w:tcPr>
            <w:tcW w:w="341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设计开发“数字人李白”，数字人李白定位少年李白，并在此次大会中正式亮相，数字人李白后续将作为江油的城市发言官，与主持人一起主持绵阳江油等地方重大活动，为绵阳江油代言。本次大会，数字人李白发布后，还需在流程节目中与真人进行互动表演。大会同期还需通过数字藏品发行平台，相应推出少年李白数字藏品。数字藏品可以少年李白为蓝本形象，通过折扇、配剑、服饰、背景等元素进行排列组合，生成不同样式的的“少年李白”数字人形象，购买后随机出现。</w:t>
            </w:r>
          </w:p>
        </w:tc>
        <w:tc>
          <w:tcPr>
            <w:tcW w:w="57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基于虚幻引擎的资产制作</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33</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基于离线渲染器（Arnold）的资产制作和转换</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34</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“少年李白”亮相策划、视频制作</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时长不少于3分钟，包括与目前市面上其他数字人开展对话和肢体动作互动结合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35</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“少年李白”发布现场活动物料制作及节目互动</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活动策划及脚本撰写，根据活动策划需求，完成相关场景搭建，实时互动解决方案配置。（不包括演员）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36</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少年李白数字藏品</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活动期间发行至少2款“少年李白”的数字藏品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37</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实时动作捕捉硬件</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Perception Neuron 3 Pro高级全身无线动作捕捉系统 2年质保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38</w:t>
            </w:r>
          </w:p>
        </w:tc>
        <w:tc>
          <w:tcPr>
            <w:tcW w:w="233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八、跟着李白看中国</w:t>
            </w:r>
          </w:p>
        </w:tc>
        <w:tc>
          <w:tcPr>
            <w:tcW w:w="341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以“李白故里文化旅游节”主题，打造文化旅游类节目，节目以李白知名诗歌为导引，重点宣传李白在江油的生活经历，一路诗歌一路行，还原诗词背后的故事，近距离与这位诗坛奇才对话，身临其境地感受诗词的内涵意境。</w:t>
            </w: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节目策划</w:t>
            </w:r>
          </w:p>
        </w:tc>
        <w:tc>
          <w:tcPr>
            <w:tcW w:w="387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节目时长：江油的镜头不少于20分钟</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播出平台：国家级媒体的新媒体播出平台，播出终端不少于三个（例如PC端网站、移动客户端、OTT大屏等）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39</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节目拍摄制作</w:t>
            </w:r>
          </w:p>
        </w:tc>
        <w:tc>
          <w:tcPr>
            <w:tcW w:w="387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40</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嘉宾及主持人邀请</w:t>
            </w:r>
          </w:p>
        </w:tc>
        <w:tc>
          <w:tcPr>
            <w:tcW w:w="387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41</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邀请美食达人、旅游、文化KOL、前往江油打卡李白足迹</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五位网红达人</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包括内容策划、脚本撰写、拍摄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42</w:t>
            </w:r>
          </w:p>
        </w:tc>
        <w:tc>
          <w:tcPr>
            <w:tcW w:w="233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九、VCR录制</w:t>
            </w:r>
          </w:p>
        </w:tc>
        <w:tc>
          <w:tcPr>
            <w:tcW w:w="341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结合大会主题，邀请文旅行业专家、学者、文体明星录制活动短视频作为大会的宣传推广素材</w:t>
            </w: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邀请文旅行业、网红、体育、文艺明星录制活动祝福视频</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参与录制嘉宾不少于15位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9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default" w:ascii="微软雅黑" w:hAnsi="微软雅黑" w:eastAsia="微软雅黑" w:cs="微软雅黑"/>
                <w:i w:val="0"/>
                <w:iCs w:val="0"/>
                <w:color w:val="000000"/>
                <w:kern w:val="0"/>
                <w:sz w:val="20"/>
                <w:szCs w:val="20"/>
                <w:u w:val="none"/>
                <w:lang w:val="en-US" w:eastAsia="zh-CN" w:bidi="ar"/>
              </w:rPr>
              <w:t>43</w:t>
            </w:r>
          </w:p>
        </w:tc>
        <w:tc>
          <w:tcPr>
            <w:tcW w:w="233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微软雅黑" w:hAnsi="微软雅黑" w:eastAsia="微软雅黑" w:cs="微软雅黑"/>
                <w:i w:val="0"/>
                <w:iCs w:val="0"/>
                <w:color w:val="000000"/>
                <w:sz w:val="20"/>
                <w:szCs w:val="20"/>
                <w:u w:val="none"/>
              </w:rPr>
            </w:pPr>
          </w:p>
        </w:tc>
        <w:tc>
          <w:tcPr>
            <w:tcW w:w="34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微软雅黑" w:hAnsi="微软雅黑" w:eastAsia="微软雅黑" w:cs="微软雅黑"/>
                <w:i w:val="0"/>
                <w:iCs w:val="0"/>
                <w:color w:val="000000"/>
                <w:sz w:val="20"/>
                <w:szCs w:val="20"/>
                <w:u w:val="none"/>
              </w:rPr>
            </w:pPr>
          </w:p>
        </w:tc>
        <w:tc>
          <w:tcPr>
            <w:tcW w:w="5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视频录制、剪辑、后期包装等</w:t>
            </w:r>
          </w:p>
        </w:tc>
        <w:tc>
          <w:tcPr>
            <w:tcW w:w="38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VCR时长不少于30秒</w:t>
            </w:r>
          </w:p>
        </w:tc>
      </w:tr>
    </w:tbl>
    <w:p>
      <w:pPr>
        <w:pStyle w:val="3"/>
        <w:keepNext w:val="0"/>
        <w:keepLines w:val="0"/>
        <w:pageBreakBefore w:val="0"/>
        <w:wordWrap/>
        <w:overflowPunct/>
        <w:topLinePunct w:val="0"/>
        <w:bidi w:val="0"/>
        <w:spacing w:line="510" w:lineRule="exact"/>
        <w:ind w:firstLine="480" w:firstLineChars="200"/>
        <w:jc w:val="center"/>
        <w:rPr>
          <w:rFonts w:hint="eastAsia" w:ascii="宋体" w:eastAsia="宋体"/>
          <w:bCs w:val="0"/>
          <w:color w:val="auto"/>
          <w:sz w:val="24"/>
          <w:szCs w:val="24"/>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482" w:firstLineChars="200"/>
        <w:textAlignment w:val="auto"/>
        <w:rPr>
          <w:rFonts w:hint="eastAsia" w:hAnsi="宋体" w:cs="宋体"/>
          <w:b/>
          <w:bCs/>
          <w:color w:val="FF0000"/>
          <w:sz w:val="24"/>
          <w:szCs w:val="24"/>
          <w:highlight w:val="none"/>
          <w:u w:val="none" w:color="auto"/>
          <w:lang w:val="en-US" w:eastAsia="zh-CN"/>
        </w:rPr>
        <w:sectPr>
          <w:footerReference r:id="rId3" w:type="default"/>
          <w:pgSz w:w="16838" w:h="11900" w:orient="landscape"/>
          <w:pgMar w:top="1083" w:right="1429" w:bottom="1083" w:left="1429" w:header="850" w:footer="992" w:gutter="0"/>
          <w:pgNumType w:fmt="decimal"/>
          <w:cols w:space="720" w:num="1"/>
          <w:rtlGutter w:val="0"/>
          <w:docGrid w:linePitch="1" w:charSpace="0"/>
        </w:sect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宋体" w:cs="Times New Roman"/>
          <w:sz w:val="34"/>
          <w:szCs w:val="24"/>
          <w:lang w:val="en-US" w:eastAsia="zh-CN" w:bidi="ar-SA"/>
        </w:rPr>
      </w:pPr>
      <w:r>
        <w:rPr>
          <w:rFonts w:hint="eastAsia" w:ascii="Times New Roman" w:hAnsi="Times New Roman" w:eastAsia="宋体" w:cs="Times New Roman"/>
          <w:sz w:val="34"/>
          <w:szCs w:val="24"/>
          <w:lang w:val="en-US" w:eastAsia="zh-CN" w:bidi="ar-SA"/>
        </w:rPr>
        <w:t>附件：活动方案开幕式流程</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3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34"/>
          <w:szCs w:val="24"/>
          <w:lang w:val="en-US" w:eastAsia="zh-CN" w:bidi="ar-SA"/>
        </w:rPr>
      </w:pPr>
      <w:r>
        <w:rPr>
          <w:rFonts w:hint="eastAsia" w:ascii="Times New Roman" w:hAnsi="Times New Roman" w:eastAsia="宋体" w:cs="Times New Roman"/>
          <w:sz w:val="34"/>
          <w:szCs w:val="24"/>
          <w:lang w:val="en-US" w:eastAsia="zh-CN" w:bidi="ar-SA"/>
        </w:rPr>
        <w:t>大会开幕式流程</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r>
        <w:rPr>
          <w:rFonts w:hint="default"/>
          <w:lang w:val="en-US" w:eastAsia="zh-CN"/>
        </w:rPr>
        <w:t>（一）发布数字人“李白”和江油城市logo</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r>
        <w:rPr>
          <w:rFonts w:hint="default"/>
          <w:lang w:val="en-US" w:eastAsia="zh-CN"/>
        </w:rPr>
        <w:t>（二）节目表演（名称待定）</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r>
        <w:rPr>
          <w:rFonts w:hint="default"/>
          <w:lang w:val="en-US" w:eastAsia="zh-CN"/>
        </w:rPr>
        <w:t>（三）部、省领导致辞</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r>
        <w:rPr>
          <w:rFonts w:hint="default"/>
          <w:lang w:val="en-US" w:eastAsia="zh-CN"/>
        </w:rPr>
        <w:t>（四）绵阳市领导推介全市文旅资源</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r>
        <w:rPr>
          <w:rFonts w:hint="default"/>
          <w:lang w:val="en-US" w:eastAsia="zh-CN"/>
        </w:rPr>
        <w:t>（五）江油市领导推介江油文旅资源</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r>
        <w:rPr>
          <w:rFonts w:hint="default"/>
          <w:lang w:val="en-US" w:eastAsia="zh-CN"/>
        </w:rPr>
        <w:t>（六）中华诗词协会为江油授牌“诗词之乡”</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r>
        <w:rPr>
          <w:rFonts w:hint="default"/>
          <w:lang w:val="en-US" w:eastAsia="zh-CN"/>
        </w:rPr>
        <w:t>（七）宣布“李白诗歌奖”作品征集活动启动</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r>
        <w:rPr>
          <w:rFonts w:hint="default"/>
          <w:lang w:val="en-US" w:eastAsia="zh-CN"/>
        </w:rPr>
        <w:t>（八）节目表演（名称待定）</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r>
        <w:rPr>
          <w:rFonts w:hint="default"/>
          <w:lang w:val="en-US" w:eastAsia="zh-CN"/>
        </w:rPr>
        <w:t>（九）嘉宾代表发言（头部数字企业发言，视邀请情况而定）</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sectPr>
          <w:pgSz w:w="11900" w:h="16838"/>
          <w:pgMar w:top="1429" w:right="1083" w:bottom="1429" w:left="1083" w:header="850" w:footer="992" w:gutter="0"/>
          <w:pgNumType w:fmt="decimal"/>
          <w:cols w:space="720" w:num="1"/>
          <w:rtlGutter w:val="0"/>
          <w:docGrid w:linePitch="1" w:charSpace="0"/>
        </w:sectPr>
      </w:pPr>
      <w:r>
        <w:rPr>
          <w:rFonts w:hint="default"/>
          <w:lang w:val="en-US" w:eastAsia="zh-CN"/>
        </w:rPr>
        <w:t>（十）市领导和嘉宾代表点亮云上艺术城并为李白故里文化旅游节开幕</w:t>
      </w:r>
    </w:p>
    <w:p>
      <w:pPr>
        <w:keepNext w:val="0"/>
        <w:keepLines w:val="0"/>
        <w:pageBreakBefore w:val="0"/>
        <w:widowControl w:val="0"/>
        <w:numPr>
          <w:ilvl w:val="0"/>
          <w:numId w:val="1"/>
        </w:numPr>
        <w:kinsoku/>
        <w:wordWrap/>
        <w:overflowPunct/>
        <w:topLinePunct w:val="0"/>
        <w:autoSpaceDE/>
        <w:autoSpaceDN/>
        <w:bidi w:val="0"/>
        <w:adjustRightInd/>
        <w:snapToGrid/>
        <w:spacing w:line="574" w:lineRule="exact"/>
        <w:ind w:firstLine="546" w:firstLineChars="200"/>
        <w:textAlignment w:val="auto"/>
        <w:rPr>
          <w:rFonts w:hint="eastAsia" w:hAnsi="宋体" w:cs="宋体"/>
          <w:b/>
          <w:bCs/>
          <w:spacing w:val="16"/>
          <w:sz w:val="24"/>
          <w:szCs w:val="24"/>
          <w:u w:val="none" w:color="auto"/>
          <w:lang w:val="en-US" w:eastAsia="zh-CN"/>
        </w:rPr>
      </w:pPr>
      <w:r>
        <w:rPr>
          <w:rFonts w:hint="eastAsia" w:hAnsi="宋体" w:cs="宋体"/>
          <w:b/>
          <w:bCs/>
          <w:spacing w:val="16"/>
          <w:sz w:val="24"/>
          <w:szCs w:val="24"/>
          <w:u w:val="none" w:color="auto"/>
          <w:lang w:val="en-US" w:eastAsia="zh-CN"/>
        </w:rPr>
        <w:t>商务要求</w:t>
      </w:r>
    </w:p>
    <w:tbl>
      <w:tblPr>
        <w:tblStyle w:val="7"/>
        <w:tblW w:w="99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7"/>
        <w:gridCol w:w="4170"/>
        <w:gridCol w:w="511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序号</w:t>
            </w:r>
          </w:p>
        </w:tc>
        <w:tc>
          <w:tcPr>
            <w:tcW w:w="417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内容</w:t>
            </w:r>
          </w:p>
        </w:tc>
        <w:tc>
          <w:tcPr>
            <w:tcW w:w="511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1"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1</w:t>
            </w:r>
          </w:p>
        </w:tc>
        <w:tc>
          <w:tcPr>
            <w:tcW w:w="417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default" w:ascii="宋体" w:hAnsi="宋体" w:eastAsia="宋体" w:cs="宋体"/>
                <w:sz w:val="21"/>
                <w:szCs w:val="21"/>
                <w:u w:val="none" w:color="auto"/>
                <w:lang w:val="en-US" w:eastAsia="zh-CN"/>
              </w:rPr>
            </w:pPr>
            <w:r>
              <w:rPr>
                <w:rFonts w:hint="eastAsia" w:ascii="宋体" w:hAnsi="宋体" w:eastAsia="宋体" w:cs="宋体"/>
                <w:sz w:val="21"/>
                <w:szCs w:val="21"/>
                <w:u w:val="none" w:color="auto"/>
                <w:lang w:val="en-US" w:eastAsia="zh-CN"/>
              </w:rPr>
              <w:t>第六章合同主要条款</w:t>
            </w:r>
          </w:p>
        </w:tc>
        <w:tc>
          <w:tcPr>
            <w:tcW w:w="511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default" w:ascii="宋体" w:hAnsi="宋体" w:eastAsia="宋体" w:cs="宋体"/>
                <w:sz w:val="21"/>
                <w:szCs w:val="21"/>
                <w:highlight w:val="none"/>
                <w:u w:val="none" w:color="auto"/>
                <w:lang w:val="en-US" w:eastAsia="zh-CN"/>
              </w:rPr>
            </w:pPr>
            <w:r>
              <w:rPr>
                <w:rFonts w:hint="eastAsia" w:ascii="宋体" w:hAnsi="宋体" w:eastAsia="宋体" w:cs="宋体"/>
                <w:sz w:val="21"/>
                <w:szCs w:val="21"/>
                <w:highlight w:val="none"/>
                <w:u w:val="none" w:color="auto"/>
                <w:lang w:val="en-US" w:eastAsia="zh-CN"/>
              </w:rPr>
              <w:t>完全响应</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lang w:eastAsia="zh-CN"/>
              </w:rPr>
            </w:pPr>
            <w:r>
              <w:rPr>
                <w:rFonts w:hint="eastAsia" w:ascii="宋体" w:hAnsi="宋体" w:eastAsia="宋体" w:cs="宋体"/>
                <w:sz w:val="21"/>
                <w:szCs w:val="21"/>
                <w:u w:val="none" w:color="auto"/>
                <w:lang w:val="en-US" w:eastAsia="zh-CN"/>
              </w:rPr>
              <w:t>2</w:t>
            </w:r>
          </w:p>
        </w:tc>
        <w:tc>
          <w:tcPr>
            <w:tcW w:w="417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履约､验收要求与标准</w:t>
            </w:r>
          </w:p>
        </w:tc>
        <w:tc>
          <w:tcPr>
            <w:tcW w:w="511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按采购文件要求验收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4"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lang w:eastAsia="zh-CN"/>
              </w:rPr>
            </w:pPr>
            <w:r>
              <w:rPr>
                <w:rFonts w:hint="eastAsia" w:ascii="宋体" w:hAnsi="宋体" w:eastAsia="宋体" w:cs="宋体"/>
                <w:sz w:val="21"/>
                <w:szCs w:val="21"/>
                <w:u w:val="none" w:color="auto"/>
                <w:lang w:val="en-US" w:eastAsia="zh-CN"/>
              </w:rPr>
              <w:t>3</w:t>
            </w:r>
          </w:p>
        </w:tc>
        <w:tc>
          <w:tcPr>
            <w:tcW w:w="417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hAnsi="宋体" w:cs="宋体"/>
                <w:sz w:val="21"/>
                <w:szCs w:val="21"/>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hAnsi="宋体" w:cs="宋体"/>
                <w:sz w:val="21"/>
                <w:szCs w:val="21"/>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hAnsi="宋体" w:cs="宋体"/>
                <w:sz w:val="21"/>
                <w:szCs w:val="21"/>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default" w:ascii="宋体" w:hAnsi="宋体" w:eastAsia="宋体" w:cs="宋体"/>
                <w:sz w:val="21"/>
                <w:szCs w:val="21"/>
                <w:u w:val="none" w:color="auto"/>
                <w:lang w:val="en-US" w:eastAsia="zh-CN"/>
              </w:rPr>
            </w:pPr>
            <w:r>
              <w:rPr>
                <w:rFonts w:hint="eastAsia" w:hAnsi="宋体" w:cs="宋体"/>
                <w:sz w:val="21"/>
                <w:szCs w:val="21"/>
                <w:u w:val="none" w:color="auto"/>
                <w:lang w:val="en-US" w:eastAsia="zh-CN"/>
              </w:rPr>
              <w:t>履约保证金</w:t>
            </w:r>
          </w:p>
        </w:tc>
        <w:tc>
          <w:tcPr>
            <w:tcW w:w="5117" w:type="dxa"/>
            <w:noWrap w:val="0"/>
            <w:vAlign w:val="top"/>
          </w:tcPr>
          <w:p>
            <w:pPr>
              <w:keepNext w:val="0"/>
              <w:keepLines w:val="0"/>
              <w:pageBreakBefore w:val="0"/>
              <w:widowControl w:val="0"/>
              <w:kinsoku/>
              <w:wordWrap/>
              <w:overflowPunct/>
              <w:topLinePunct w:val="0"/>
              <w:autoSpaceDE/>
              <w:autoSpaceDN/>
              <w:bidi w:val="0"/>
              <w:adjustRightInd/>
              <w:snapToGrid/>
              <w:spacing w:line="574" w:lineRule="exact"/>
              <w:textAlignment w:val="auto"/>
              <w:rPr>
                <w:rFonts w:hint="eastAsia"/>
                <w:sz w:val="21"/>
                <w:szCs w:val="21"/>
                <w:u w:val="none" w:color="auto"/>
              </w:rPr>
            </w:pPr>
            <w:r>
              <w:rPr>
                <w:rFonts w:hint="eastAsia"/>
                <w:sz w:val="21"/>
                <w:szCs w:val="21"/>
                <w:u w:val="none" w:color="auto"/>
              </w:rPr>
              <w:t>成交供应商在中标后3个工作日内需缴纳成交合同金额5%的履约保证金</w:t>
            </w:r>
          </w:p>
          <w:p>
            <w:pPr>
              <w:keepNext w:val="0"/>
              <w:keepLines w:val="0"/>
              <w:pageBreakBefore w:val="0"/>
              <w:widowControl w:val="0"/>
              <w:kinsoku/>
              <w:wordWrap/>
              <w:overflowPunct/>
              <w:topLinePunct w:val="0"/>
              <w:autoSpaceDE/>
              <w:autoSpaceDN/>
              <w:bidi w:val="0"/>
              <w:adjustRightInd/>
              <w:snapToGrid/>
              <w:spacing w:line="574" w:lineRule="exact"/>
              <w:textAlignment w:val="auto"/>
              <w:rPr>
                <w:rFonts w:hint="default" w:eastAsia="宋体"/>
                <w:sz w:val="21"/>
                <w:szCs w:val="21"/>
                <w:u w:val="none" w:color="auto"/>
                <w:lang w:val="en-US" w:eastAsia="zh-CN"/>
              </w:rPr>
            </w:pPr>
            <w:r>
              <w:rPr>
                <w:sz w:val="21"/>
                <w:szCs w:val="21"/>
                <w:u w:val="none" w:color="auto"/>
              </w:rPr>
              <w:t>收款单位：</w:t>
            </w:r>
            <w:r>
              <w:rPr>
                <w:rFonts w:hint="eastAsia"/>
                <w:sz w:val="21"/>
                <w:szCs w:val="21"/>
                <w:u w:val="none" w:color="auto"/>
                <w:lang w:val="en-US" w:eastAsia="zh-CN"/>
              </w:rPr>
              <w:t>江油博飞文化旅游开发集团有限公司</w:t>
            </w:r>
          </w:p>
          <w:p>
            <w:pPr>
              <w:keepNext w:val="0"/>
              <w:keepLines w:val="0"/>
              <w:pageBreakBefore w:val="0"/>
              <w:widowControl w:val="0"/>
              <w:kinsoku/>
              <w:wordWrap/>
              <w:overflowPunct/>
              <w:topLinePunct w:val="0"/>
              <w:autoSpaceDE/>
              <w:autoSpaceDN/>
              <w:bidi w:val="0"/>
              <w:adjustRightInd/>
              <w:snapToGrid/>
              <w:spacing w:line="574" w:lineRule="exact"/>
              <w:textAlignment w:val="auto"/>
              <w:rPr>
                <w:sz w:val="21"/>
                <w:szCs w:val="21"/>
                <w:u w:val="none" w:color="auto"/>
              </w:rPr>
            </w:pPr>
            <w:r>
              <w:rPr>
                <w:sz w:val="21"/>
                <w:szCs w:val="21"/>
                <w:u w:val="none" w:color="auto"/>
              </w:rPr>
              <w:t>交款时间：合同签订前。</w:t>
            </w:r>
          </w:p>
          <w:p>
            <w:pPr>
              <w:keepNext w:val="0"/>
              <w:keepLines w:val="0"/>
              <w:pageBreakBefore w:val="0"/>
              <w:widowControl w:val="0"/>
              <w:kinsoku/>
              <w:wordWrap/>
              <w:overflowPunct/>
              <w:topLinePunct w:val="0"/>
              <w:autoSpaceDE/>
              <w:autoSpaceDN/>
              <w:bidi w:val="0"/>
              <w:adjustRightInd/>
              <w:snapToGrid/>
              <w:spacing w:line="574" w:lineRule="exact"/>
              <w:textAlignment w:val="auto"/>
              <w:rPr>
                <w:sz w:val="21"/>
                <w:szCs w:val="21"/>
                <w:u w:val="none" w:color="auto"/>
              </w:rPr>
            </w:pPr>
            <w:r>
              <w:rPr>
                <w:sz w:val="21"/>
                <w:szCs w:val="21"/>
                <w:u w:val="none" w:color="auto"/>
              </w:rPr>
              <w:t>合同履行完毕，项目验收合格后，由采购人退付交纳的履约保证金。</w:t>
            </w:r>
          </w:p>
          <w:p>
            <w:pPr>
              <w:keepNext w:val="0"/>
              <w:keepLines w:val="0"/>
              <w:pageBreakBefore w:val="0"/>
              <w:widowControl/>
              <w:kinsoku w:val="0"/>
              <w:wordWrap/>
              <w:overflowPunct/>
              <w:topLinePunct w:val="0"/>
              <w:autoSpaceDE w:val="0"/>
              <w:autoSpaceDN w:val="0"/>
              <w:bidi w:val="0"/>
              <w:adjustRightInd w:val="0"/>
              <w:snapToGrid w:val="0"/>
              <w:spacing w:line="574" w:lineRule="exact"/>
              <w:jc w:val="both"/>
              <w:textAlignment w:val="baseline"/>
              <w:rPr>
                <w:rFonts w:hint="default" w:ascii="宋体" w:hAnsi="宋体" w:eastAsia="宋体" w:cs="宋体"/>
                <w:sz w:val="21"/>
                <w:szCs w:val="21"/>
                <w:u w:val="none" w:color="auto"/>
                <w:lang w:val="en-US" w:eastAsia="zh-CN"/>
              </w:rPr>
            </w:pPr>
            <w:r>
              <w:rPr>
                <w:sz w:val="21"/>
                <w:szCs w:val="21"/>
                <w:u w:val="none" w:color="auto"/>
              </w:rPr>
              <w:t>交款方式：由中标 (成交) 供应商以</w:t>
            </w:r>
            <w:r>
              <w:rPr>
                <w:rFonts w:hint="eastAsia"/>
                <w:sz w:val="21"/>
                <w:szCs w:val="21"/>
                <w:u w:val="none" w:color="auto"/>
                <w:lang w:val="en-US" w:eastAsia="zh-CN"/>
              </w:rPr>
              <w:t>转账</w:t>
            </w:r>
            <w:r>
              <w:rPr>
                <w:sz w:val="21"/>
                <w:szCs w:val="21"/>
                <w:u w:val="none" w:color="auto"/>
              </w:rPr>
              <w:t>形式缴纳履约保证金。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lang w:val="en-US" w:eastAsia="zh-CN"/>
              </w:rPr>
            </w:pPr>
            <w:r>
              <w:rPr>
                <w:rFonts w:hint="eastAsia" w:ascii="宋体" w:hAnsi="宋体" w:eastAsia="宋体" w:cs="宋体"/>
                <w:sz w:val="21"/>
                <w:szCs w:val="21"/>
                <w:u w:val="none" w:color="auto"/>
                <w:lang w:val="en-US" w:eastAsia="zh-CN"/>
              </w:rPr>
              <w:t>4</w:t>
            </w:r>
          </w:p>
        </w:tc>
        <w:tc>
          <w:tcPr>
            <w:tcW w:w="417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lang w:val="en-US" w:eastAsia="zh-CN"/>
              </w:rPr>
            </w:pPr>
            <w:r>
              <w:rPr>
                <w:rFonts w:hint="eastAsia" w:ascii="宋体" w:hAnsi="宋体" w:eastAsia="宋体" w:cs="宋体"/>
                <w:sz w:val="21"/>
                <w:szCs w:val="21"/>
                <w:u w:val="none" w:color="auto"/>
                <w:lang w:val="en-US" w:eastAsia="zh-CN"/>
              </w:rPr>
              <w:t>“数字人李白”产权归属</w:t>
            </w:r>
          </w:p>
        </w:tc>
        <w:tc>
          <w:tcPr>
            <w:tcW w:w="511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left"/>
              <w:textAlignment w:val="baseline"/>
              <w:rPr>
                <w:rFonts w:hint="eastAsia" w:ascii="宋体" w:hAnsi="宋体" w:eastAsia="宋体" w:cs="宋体"/>
                <w:sz w:val="21"/>
                <w:szCs w:val="21"/>
                <w:u w:val="none" w:color="auto"/>
                <w:lang w:val="en-US" w:eastAsia="zh-CN"/>
              </w:rPr>
            </w:pPr>
            <w:r>
              <w:rPr>
                <w:rFonts w:hint="eastAsia" w:ascii="宋体" w:hAnsi="宋体" w:eastAsia="宋体" w:cs="宋体"/>
                <w:sz w:val="21"/>
                <w:szCs w:val="21"/>
                <w:u w:val="none" w:color="auto"/>
                <w:lang w:val="en-US" w:eastAsia="zh-CN"/>
              </w:rPr>
              <w:t>采购人在资金到位的情况下，享有本项实施过程中产生的知识成果及知识产权（包括但不限于著作权、名誉权、肖像权和</w:t>
            </w:r>
            <w:r>
              <w:rPr>
                <w:rFonts w:hint="eastAsia" w:ascii="宋体" w:hAnsi="宋体" w:eastAsia="宋体" w:cs="宋体"/>
                <w:sz w:val="21"/>
                <w:szCs w:val="21"/>
                <w:u w:val="none" w:color="auto"/>
                <w:lang w:val="zh-TW" w:eastAsia="zh-TW"/>
              </w:rPr>
              <w:t>相关邻接权</w:t>
            </w:r>
            <w:r>
              <w:rPr>
                <w:rFonts w:hint="eastAsia" w:ascii="宋体" w:hAnsi="宋体" w:eastAsia="宋体" w:cs="宋体"/>
                <w:sz w:val="21"/>
                <w:szCs w:val="21"/>
                <w:u w:val="none" w:color="auto"/>
                <w:lang w:val="en-US" w:eastAsia="zh-CN"/>
              </w:rPr>
              <w:t>等权利）。</w:t>
            </w:r>
          </w:p>
        </w:tc>
      </w:tr>
    </w:tbl>
    <w:p>
      <w:pPr>
        <w:pStyle w:val="3"/>
        <w:keepNext w:val="0"/>
        <w:keepLines w:val="0"/>
        <w:pageBreakBefore w:val="0"/>
        <w:widowControl w:val="0"/>
        <w:kinsoku/>
        <w:wordWrap/>
        <w:overflowPunct/>
        <w:topLinePunct w:val="0"/>
        <w:autoSpaceDE/>
        <w:autoSpaceDN/>
        <w:bidi w:val="0"/>
        <w:adjustRightInd/>
        <w:snapToGrid/>
        <w:spacing w:line="574" w:lineRule="exact"/>
        <w:ind w:firstLine="560" w:firstLineChars="200"/>
        <w:textAlignment w:val="auto"/>
      </w:pPr>
    </w:p>
    <w:sectPr>
      <w:pgSz w:w="11906" w:h="16838"/>
      <w:pgMar w:top="1417" w:right="1800" w:bottom="141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F2C24B"/>
    <w:multiLevelType w:val="singleLevel"/>
    <w:tmpl w:val="69F2C24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49E42AC1"/>
    <w:rsid w:val="0AF0197C"/>
    <w:rsid w:val="0FFF6590"/>
    <w:rsid w:val="127B6A48"/>
    <w:rsid w:val="1D890952"/>
    <w:rsid w:val="1E1762DB"/>
    <w:rsid w:val="213D3B4A"/>
    <w:rsid w:val="29A0670C"/>
    <w:rsid w:val="2B9A6EAD"/>
    <w:rsid w:val="2ECC2FC4"/>
    <w:rsid w:val="37804521"/>
    <w:rsid w:val="38105770"/>
    <w:rsid w:val="3DCE7409"/>
    <w:rsid w:val="404D65D2"/>
    <w:rsid w:val="49E42AC1"/>
    <w:rsid w:val="4FF10422"/>
    <w:rsid w:val="529F5982"/>
    <w:rsid w:val="53561B69"/>
    <w:rsid w:val="552275B9"/>
    <w:rsid w:val="60EE3B1A"/>
    <w:rsid w:val="62116297"/>
    <w:rsid w:val="666E5DC4"/>
    <w:rsid w:val="6B750FBA"/>
    <w:rsid w:val="785B177B"/>
    <w:rsid w:val="79ED50E0"/>
    <w:rsid w:val="7A765096"/>
    <w:rsid w:val="7FBF9696"/>
    <w:rsid w:val="EFEFDA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黑体"/>
      <w:sz w:val="34"/>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next w:val="1"/>
    <w:qFormat/>
    <w:uiPriority w:val="0"/>
    <w:pPr>
      <w:spacing w:after="120" w:line="480" w:lineRule="auto"/>
      <w:ind w:left="420" w:leftChars="200"/>
    </w:pPr>
    <w:rPr>
      <w:rFonts w:ascii="Times New Roman" w:hAnsi="Times New Roman" w:cs="Times New Roman"/>
      <w:szCs w:val="24"/>
    </w:rPr>
  </w:style>
  <w:style w:type="paragraph" w:styleId="3">
    <w:name w:val="Body Text"/>
    <w:basedOn w:val="1"/>
    <w:next w:val="1"/>
    <w:qFormat/>
    <w:uiPriority w:val="0"/>
    <w:rPr>
      <w:rFonts w:ascii="华文中宋" w:eastAsia="华文中宋"/>
      <w:bCs/>
      <w:sz w:val="28"/>
    </w:rPr>
  </w:style>
  <w:style w:type="paragraph" w:styleId="4">
    <w:name w:val="footer"/>
    <w:basedOn w:val="1"/>
    <w:qFormat/>
    <w:uiPriority w:val="99"/>
    <w:pPr>
      <w:tabs>
        <w:tab w:val="center" w:pos="4153"/>
        <w:tab w:val="right" w:pos="8306"/>
      </w:tabs>
      <w:snapToGrid w:val="0"/>
      <w:jc w:val="left"/>
    </w:pPr>
    <w:rPr>
      <w:sz w:val="18"/>
      <w:szCs w:val="20"/>
    </w:rPr>
  </w:style>
  <w:style w:type="table" w:customStyle="1" w:styleId="7">
    <w:name w:val="Table Normal"/>
    <w:unhideWhenUsed/>
    <w:qFormat/>
    <w:uiPriority w:val="0"/>
    <w:tblPr>
      <w:tblCellMar>
        <w:top w:w="0" w:type="dxa"/>
        <w:left w:w="0" w:type="dxa"/>
        <w:bottom w:w="0" w:type="dxa"/>
        <w:right w:w="0" w:type="dxa"/>
      </w:tblCellMar>
    </w:tblPr>
  </w:style>
  <w:style w:type="paragraph" w:customStyle="1" w:styleId="8">
    <w:name w:val="02、首行缩进2字符正文"/>
    <w:basedOn w:val="1"/>
    <w:qFormat/>
    <w:uiPriority w:val="0"/>
    <w:pPr>
      <w:tabs>
        <w:tab w:val="left" w:pos="0"/>
      </w:tabs>
      <w:wordWrap w:val="0"/>
      <w:topLinePunct/>
      <w:ind w:firstLine="480" w:firstLineChars="200"/>
    </w:pPr>
    <w:rPr>
      <w:rFonts w:hAnsi="宋体" w:cs="Times New Roman"/>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3389</Words>
  <Characters>3538</Characters>
  <Lines>0</Lines>
  <Paragraphs>0</Paragraphs>
  <TotalTime>3</TotalTime>
  <ScaleCrop>false</ScaleCrop>
  <LinksUpToDate>false</LinksUpToDate>
  <CharactersWithSpaces>3551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2022-11-23T06:40:00Z</dcterms:created>
  <dc:creator>一路向前</dc:creator>
  <cp:lastModifiedBy>一路向前</cp:lastModifiedBy>
  <cp:lastPrinted>2023-02-20T00:18:04Z</cp:lastPrinted>
  <dcterms:modified xsi:type="dcterms:W3CDTF">2023-02-20T00:18:10Z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567833587BAA45538C4E579981F7966E</vt:lpwstr>
  </property>
</Properties>
</file>